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D9E1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 xml:space="preserve"> 自贡市中医医院</w:t>
      </w:r>
    </w:p>
    <w:p w14:paraId="26F824F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全病程管理信息系统合作项目公开遴选办法</w:t>
      </w:r>
    </w:p>
    <w:p w14:paraId="574A5E9A">
      <w:pPr>
        <w:spacing w:line="560" w:lineRule="exact"/>
        <w:ind w:firstLine="640" w:firstLineChars="200"/>
        <w:jc w:val="center"/>
        <w:rPr>
          <w:rFonts w:ascii="黑体" w:hAnsi="黑体" w:eastAsia="黑体" w:cs="宋体"/>
          <w:kern w:val="0"/>
          <w:sz w:val="32"/>
          <w:szCs w:val="32"/>
        </w:rPr>
      </w:pPr>
    </w:p>
    <w:p w14:paraId="1514607A">
      <w:pPr>
        <w:snapToGrid w:val="0"/>
        <w:spacing w:line="336" w:lineRule="auto"/>
        <w:ind w:firstLine="640" w:firstLineChars="200"/>
        <w:rPr>
          <w:rFonts w:eastAsia="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lang w:val="en-US" w:eastAsia="zh-CN"/>
        </w:rPr>
        <w:t>规范我院慢病及专病管理工作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提升全流程管理信息化水平</w:t>
      </w:r>
      <w:r>
        <w:rPr>
          <w:rFonts w:hint="eastAsia" w:ascii="仿宋_GB2312" w:hAnsi="仿宋_GB2312" w:eastAsia="仿宋_GB2312" w:cs="仿宋_GB2312"/>
          <w:sz w:val="32"/>
          <w:szCs w:val="32"/>
        </w:rPr>
        <w:t>，</w:t>
      </w:r>
      <w:r>
        <w:rPr>
          <w:rFonts w:hint="eastAsia" w:ascii="仿宋_GB2312" w:hAnsi="宋体" w:eastAsia="仿宋_GB2312" w:cs="宋体"/>
          <w:kern w:val="0"/>
          <w:sz w:val="32"/>
          <w:szCs w:val="32"/>
        </w:rPr>
        <w:t>公开、公平、公正的</w:t>
      </w:r>
      <w:r>
        <w:rPr>
          <w:rFonts w:hint="eastAsia" w:ascii="仿宋_GB2312" w:hAnsi="仿宋_GB2312" w:eastAsia="仿宋_GB2312" w:cs="仿宋_GB2312"/>
          <w:sz w:val="32"/>
          <w:szCs w:val="32"/>
        </w:rPr>
        <w:t>遴选引进优质合作单位，</w:t>
      </w:r>
      <w:r>
        <w:rPr>
          <w:rFonts w:hint="eastAsia" w:ascii="仿宋_GB2312" w:hAnsi="仿宋_GB2312" w:eastAsia="仿宋_GB2312" w:cs="仿宋_GB2312"/>
          <w:sz w:val="32"/>
          <w:szCs w:val="32"/>
          <w:lang w:val="en-US" w:eastAsia="zh-CN"/>
        </w:rPr>
        <w:t>实现合作共建、互利共赢</w:t>
      </w:r>
      <w:r>
        <w:rPr>
          <w:rFonts w:hint="eastAsia" w:ascii="仿宋_GB2312" w:hAnsi="仿宋_GB2312" w:eastAsia="仿宋_GB2312" w:cs="仿宋_GB2312"/>
          <w:sz w:val="32"/>
          <w:szCs w:val="32"/>
        </w:rPr>
        <w:t>，</w:t>
      </w:r>
      <w:r>
        <w:rPr>
          <w:rFonts w:hint="eastAsia" w:ascii="仿宋_GB2312" w:hAnsi="宋体" w:eastAsia="仿宋_GB2312" w:cs="宋体"/>
          <w:kern w:val="0"/>
          <w:sz w:val="32"/>
          <w:szCs w:val="32"/>
        </w:rPr>
        <w:t>现将遴选办法公告如下</w:t>
      </w:r>
      <w:r>
        <w:rPr>
          <w:rFonts w:hint="eastAsia" w:eastAsia="仿宋_GB2312"/>
          <w:sz w:val="32"/>
          <w:szCs w:val="32"/>
        </w:rPr>
        <w:t>：</w:t>
      </w:r>
    </w:p>
    <w:p w14:paraId="32F3E1CC">
      <w:pPr>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1BEDF23A">
      <w:pPr>
        <w:snapToGrid w:val="0"/>
        <w:spacing w:line="336" w:lineRule="auto"/>
        <w:ind w:firstLine="640" w:firstLineChars="200"/>
        <w:rPr>
          <w:rFonts w:hint="eastAsia" w:ascii="仿宋_GB2312" w:hAnsi="宋体" w:eastAsia="仿宋_GB2312" w:cs="宋体"/>
          <w:kern w:val="0"/>
          <w:sz w:val="32"/>
          <w:szCs w:val="32"/>
        </w:rPr>
      </w:pPr>
      <w:r>
        <w:rPr>
          <w:rFonts w:hint="eastAsia" w:ascii="仿宋_GB2312" w:hAnsi="仿宋_GB2312" w:eastAsia="仿宋_GB2312" w:cs="仿宋_GB2312"/>
          <w:sz w:val="32"/>
          <w:szCs w:val="32"/>
          <w:lang w:val="en-US" w:eastAsia="zh-CN"/>
        </w:rPr>
        <w:t>（一）合作</w:t>
      </w:r>
      <w:r>
        <w:rPr>
          <w:rFonts w:hint="eastAsia" w:ascii="仿宋_GB2312" w:hAnsi="仿宋_GB2312" w:eastAsia="仿宋_GB2312" w:cs="仿宋_GB2312"/>
          <w:color w:val="auto"/>
          <w:sz w:val="32"/>
          <w:szCs w:val="32"/>
          <w:lang w:val="en-US" w:eastAsia="zh-CN"/>
        </w:rPr>
        <w:t>项目名称</w:t>
      </w:r>
      <w:r>
        <w:rPr>
          <w:rFonts w:hint="eastAsia" w:ascii="仿宋_GB2312" w:hAnsi="仿宋_GB2312" w:eastAsia="仿宋_GB2312" w:cs="仿宋_GB2312"/>
          <w:sz w:val="32"/>
          <w:szCs w:val="32"/>
          <w:lang w:val="en-US" w:eastAsia="zh-CN"/>
        </w:rPr>
        <w:t>：</w:t>
      </w:r>
      <w:r>
        <w:rPr>
          <w:rFonts w:hint="eastAsia" w:ascii="仿宋_GB2312" w:hAnsi="宋体" w:eastAsia="仿宋_GB2312" w:cs="宋体"/>
          <w:kern w:val="0"/>
          <w:sz w:val="32"/>
          <w:szCs w:val="32"/>
        </w:rPr>
        <w:t>自贡市中医医院</w:t>
      </w:r>
      <w:r>
        <w:rPr>
          <w:rFonts w:hint="eastAsia" w:ascii="仿宋_GB2312" w:hAnsi="宋体" w:eastAsia="仿宋_GB2312" w:cs="宋体"/>
          <w:kern w:val="0"/>
          <w:sz w:val="32"/>
          <w:szCs w:val="32"/>
          <w:lang w:val="en-US" w:eastAsia="zh-CN"/>
        </w:rPr>
        <w:t>全病程管理信息系统</w:t>
      </w:r>
      <w:r>
        <w:rPr>
          <w:rFonts w:hint="eastAsia" w:ascii="仿宋_GB2312" w:hAnsi="宋体" w:eastAsia="仿宋_GB2312" w:cs="宋体"/>
          <w:kern w:val="0"/>
          <w:sz w:val="32"/>
          <w:szCs w:val="32"/>
        </w:rPr>
        <w:t>合作项目</w:t>
      </w:r>
    </w:p>
    <w:p w14:paraId="67C31AB1">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项目基本情况：</w:t>
      </w:r>
      <w:r>
        <w:rPr>
          <w:rFonts w:hint="eastAsia" w:ascii="仿宋_GB2312" w:hAnsi="仿宋_GB2312" w:eastAsia="仿宋_GB2312" w:cs="仿宋_GB2312"/>
          <w:sz w:val="32"/>
          <w:szCs w:val="32"/>
          <w:lang w:val="en-US" w:eastAsia="zh-CN"/>
        </w:rPr>
        <w:t>本次遴选旨在选择一套适合我院工作实际、功能完善、安全可靠的全病程管理信息系统，用于慢病患者、专病患者的全流程管理，并与院内各信息系统、仪器设备对接互通，有效联通区域性慢病管理平台，构建规范化、精准化的全病程管理体系。系统需全面支撑我院慢病管理中心“管患者、管数据、管推广”三大核心职能，满足出院患者管理、筛查患者管理、医联体辖区患者管理、慢病诊室管理、中医药特色服务、增值服务开发、智慧化服务支撑等七大职能的信息化需求。</w:t>
      </w:r>
    </w:p>
    <w:p w14:paraId="73ED7F3E">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合作方式：本次采用“合作共建、互利共赢”的合作模式，医院提供应用场景、临床资源、慢病管理和专病管理需求及业务支撑，合作单位负责提供信息系统、技术部署、日常运维、推广服务、系统升级及全周期技术服务。双方发挥资源优势，共同建设、共同运营、共同发展，实现资源互补、成果共享、长期共赢</w:t>
      </w:r>
      <w:r>
        <w:rPr>
          <w:rFonts w:hint="eastAsia" w:ascii="仿宋_GB2312" w:hAnsi="仿宋_GB2312" w:eastAsia="仿宋_GB2312" w:cs="仿宋_GB2312"/>
          <w:sz w:val="32"/>
          <w:szCs w:val="32"/>
        </w:rPr>
        <w:t>。</w:t>
      </w:r>
    </w:p>
    <w:p w14:paraId="6EE448ED">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运行需求：</w:t>
      </w:r>
    </w:p>
    <w:p w14:paraId="5F1EA568">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1.系统运行需稳定、高效，响应速度快，支持至少2000名用户且不限定用户数同时在线操作，无频繁卡顿、崩溃等问题，年故障率低于0.5%</w:t>
      </w:r>
      <w:r>
        <w:rPr>
          <w:rFonts w:hint="eastAsia" w:ascii="仿宋_GB2312" w:hAnsi="仿宋_GB2312" w:eastAsia="仿宋_GB2312" w:cs="仿宋_GB2312"/>
          <w:color w:val="000000" w:themeColor="text1"/>
          <w:sz w:val="32"/>
          <w:szCs w:val="32"/>
          <w14:textFill>
            <w14:solidFill>
              <w14:schemeClr w14:val="tx1"/>
            </w14:solidFill>
          </w14:textFill>
        </w:rPr>
        <w:t>。</w:t>
      </w:r>
    </w:p>
    <w:p w14:paraId="4A35D070">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2.适配我院现有硬件环境及信息系统，可实现无缝对接、数据实时同步，不影响原有系统正常运行。</w:t>
      </w:r>
    </w:p>
    <w:p w14:paraId="483466CA">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3.服务需部署在院内本地服务器，数据不外流；具备完善的容错、备份及恢复功能，定期自动备份数据，可快速恢复异常数据，保障慢病管理及科研数据安全。</w:t>
      </w:r>
    </w:p>
    <w:p w14:paraId="058B8CA5">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4.支持根据我院慢病管理、科研工作及专病管理需求，灵活调整系统功能，提供个性化适配服务。</w:t>
      </w:r>
    </w:p>
    <w:p w14:paraId="5C046AD0">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系统需内置绩效考核管理模块，支持慢病管理中心各项指标自动采集、核算与可视化展示，包括但不限于：随访率、规范管理率、中医药服务量占比、服务包签约数、基层推送管理率、患者满意度等，并支持按岗位自动生成绩效考核报表。</w:t>
      </w:r>
    </w:p>
    <w:p w14:paraId="538E8AEA">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6.</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系统需支持“双人复核制”数据审核流程，确保数据录入准确性与可溯源性，符合慢病管理中心关于数据管理的制度要求。</w:t>
      </w:r>
    </w:p>
    <w:p w14:paraId="74B137B7">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7.</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系统需支持“红、黄、绿”三色分级随访管理功能，可根据患者风险评估结果自动生成个性化随访任务，并推送至责任慢病管理师。</w:t>
      </w:r>
    </w:p>
    <w:p w14:paraId="3F82B259">
      <w:pPr>
        <w:widowControl/>
        <w:snapToGrid w:val="0"/>
        <w:spacing w:line="336" w:lineRule="auto"/>
        <w:ind w:right="25" w:rightChars="12" w:firstLine="640" w:firstLineChars="200"/>
        <w:rPr>
          <w:rFonts w:hAnsi="黑体" w:eastAsia="黑体"/>
          <w:sz w:val="32"/>
          <w:szCs w:val="32"/>
        </w:rPr>
      </w:pPr>
      <w:r>
        <w:rPr>
          <w:rFonts w:hint="eastAsia" w:hAnsi="黑体" w:eastAsia="黑体"/>
          <w:sz w:val="32"/>
          <w:szCs w:val="32"/>
        </w:rPr>
        <w:t>二、报名</w:t>
      </w:r>
      <w:r>
        <w:rPr>
          <w:rFonts w:hAnsi="黑体" w:eastAsia="黑体"/>
          <w:sz w:val="32"/>
          <w:szCs w:val="32"/>
        </w:rPr>
        <w:t>条件</w:t>
      </w:r>
    </w:p>
    <w:p w14:paraId="019704C4">
      <w:pPr>
        <w:snapToGrid w:val="0"/>
        <w:spacing w:line="336" w:lineRule="auto"/>
        <w:ind w:firstLine="640" w:firstLineChars="200"/>
        <w:rPr>
          <w:rFonts w:eastAsia="仿宋_GB2312"/>
          <w:sz w:val="32"/>
          <w:szCs w:val="32"/>
        </w:rPr>
      </w:pPr>
      <w:r>
        <w:rPr>
          <w:rFonts w:hint="eastAsia" w:ascii="仿宋_GB2312" w:hAnsi="宋体" w:eastAsia="仿宋_GB2312" w:cs="宋体"/>
          <w:kern w:val="0"/>
          <w:sz w:val="32"/>
          <w:szCs w:val="32"/>
        </w:rPr>
        <w:t>参与遴选单位</w:t>
      </w:r>
      <w:r>
        <w:rPr>
          <w:rFonts w:eastAsia="仿宋_GB2312"/>
          <w:sz w:val="32"/>
          <w:szCs w:val="32"/>
        </w:rPr>
        <w:t>须</w:t>
      </w:r>
      <w:r>
        <w:rPr>
          <w:rFonts w:hint="eastAsia" w:eastAsia="仿宋_GB2312"/>
          <w:sz w:val="32"/>
          <w:szCs w:val="32"/>
        </w:rPr>
        <w:t>满足以下基本条件</w:t>
      </w:r>
      <w:r>
        <w:rPr>
          <w:rFonts w:eastAsia="仿宋_GB2312"/>
          <w:sz w:val="32"/>
          <w:szCs w:val="32"/>
        </w:rPr>
        <w:t>：</w:t>
      </w:r>
    </w:p>
    <w:p w14:paraId="584DCA84">
      <w:pPr>
        <w:snapToGrid w:val="0"/>
        <w:spacing w:line="336" w:lineRule="auto"/>
        <w:ind w:firstLine="640" w:firstLineChars="200"/>
        <w:rPr>
          <w:rFonts w:eastAsia="仿宋_GB2312"/>
          <w:sz w:val="32"/>
          <w:szCs w:val="32"/>
        </w:rPr>
      </w:pPr>
      <w:r>
        <w:rPr>
          <w:rFonts w:hint="eastAsia" w:eastAsia="仿宋_GB2312"/>
          <w:sz w:val="32"/>
          <w:szCs w:val="32"/>
        </w:rPr>
        <w:t>（一）报名</w:t>
      </w:r>
      <w:r>
        <w:rPr>
          <w:rFonts w:eastAsia="仿宋_GB2312"/>
          <w:sz w:val="32"/>
          <w:szCs w:val="32"/>
        </w:rPr>
        <w:t>对象</w:t>
      </w:r>
      <w:r>
        <w:rPr>
          <w:rFonts w:hint="eastAsia" w:ascii="仿宋_GB2312" w:hAnsi="仿宋_GB2312" w:eastAsia="仿宋_GB2312" w:cs="仿宋_GB2312"/>
          <w:sz w:val="32"/>
          <w:szCs w:val="32"/>
        </w:rPr>
        <w:t>具有独立承担民事责任能力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持有有效的营业执照、税务登记证等相关资质，经营范围涵盖慢病信息系统研发、销售或技术服务等相关内容。</w:t>
      </w:r>
    </w:p>
    <w:p w14:paraId="65E58AC1">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近3年内无重大违法违规记录、失信行为、仲裁纠纷及知识产权纠纷，未被列入失信被执行人、重大税收违法案件当事人名单。</w:t>
      </w:r>
    </w:p>
    <w:p w14:paraId="4DF04873">
      <w:pPr>
        <w:snapToGrid w:val="0"/>
        <w:spacing w:line="336" w:lineRule="auto"/>
        <w:ind w:firstLine="640" w:firstLineChars="200"/>
        <w:rPr>
          <w:rFonts w:hint="default" w:eastAsia="仿宋_GB2312"/>
          <w:sz w:val="32"/>
          <w:szCs w:val="32"/>
          <w:lang w:val="en-US"/>
        </w:rPr>
      </w:pPr>
      <w:r>
        <w:rPr>
          <w:rFonts w:hint="eastAsia" w:eastAsia="仿宋_GB2312"/>
          <w:sz w:val="32"/>
          <w:szCs w:val="32"/>
        </w:rPr>
        <w:t>（三）</w:t>
      </w:r>
      <w:r>
        <w:rPr>
          <w:rFonts w:hint="eastAsia" w:eastAsia="仿宋_GB2312"/>
          <w:sz w:val="32"/>
          <w:szCs w:val="32"/>
          <w:lang w:val="en-US" w:eastAsia="zh-CN"/>
        </w:rPr>
        <w:t>具备履行合同所必需的设备和专业技术能力，拥有成熟的全病程管理信息系统产品，能提供完善的售后技术支持、系统升级及人员培训服务。遴选过程中，侧重考虑具备三级医疗卫生机构同类项目合作经验的机构。</w:t>
      </w:r>
    </w:p>
    <w:p w14:paraId="02C08CE0">
      <w:pPr>
        <w:snapToGrid w:val="0"/>
        <w:spacing w:line="336" w:lineRule="auto"/>
        <w:ind w:firstLine="640" w:firstLineChars="200"/>
        <w:rPr>
          <w:rFonts w:hint="eastAsia" w:eastAsia="仿宋_GB2312"/>
          <w:sz w:val="32"/>
          <w:szCs w:val="32"/>
        </w:rPr>
      </w:pPr>
      <w:r>
        <w:rPr>
          <w:rFonts w:hint="eastAsia" w:eastAsia="仿宋_GB2312"/>
          <w:sz w:val="32"/>
          <w:szCs w:val="32"/>
        </w:rPr>
        <w:t>（四）</w:t>
      </w:r>
      <w:r>
        <w:rPr>
          <w:rFonts w:hint="eastAsia" w:eastAsia="仿宋_GB2312"/>
          <w:sz w:val="32"/>
          <w:szCs w:val="32"/>
          <w:lang w:val="en-US" w:eastAsia="zh-CN"/>
        </w:rPr>
        <w:t>系统需符合医疗数据安全相关规定，具备数据加密、权限分级管理等功能，可实现与我院现有信息系统兼容对接，保障数据安全、完整、可溯源；不接受联合体报名，不允许转包、分包</w:t>
      </w:r>
      <w:r>
        <w:rPr>
          <w:rFonts w:hint="eastAsia" w:eastAsia="仿宋_GB2312"/>
          <w:sz w:val="32"/>
          <w:szCs w:val="32"/>
        </w:rPr>
        <w:t>。</w:t>
      </w:r>
    </w:p>
    <w:p w14:paraId="26097443">
      <w:pPr>
        <w:pStyle w:val="6"/>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（五）</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系统需具备中医药特色服务管理功能，包括中医体质辨识管理、膏方/适宜技术预约与记录、养生功法视频库及推送等模块，能够支撑我院慢病中医药服务量占比不低于60%的战略目标。</w:t>
      </w:r>
    </w:p>
    <w:p w14:paraId="01604A92">
      <w:pPr>
        <w:widowControl/>
        <w:snapToGrid w:val="0"/>
        <w:spacing w:line="336" w:lineRule="auto"/>
        <w:ind w:right="25" w:rightChars="12" w:firstLine="640" w:firstLineChars="200"/>
        <w:rPr>
          <w:rFonts w:eastAsia="黑体"/>
          <w:sz w:val="32"/>
          <w:szCs w:val="32"/>
        </w:rPr>
      </w:pPr>
      <w:r>
        <w:rPr>
          <w:rFonts w:hAnsi="黑体" w:eastAsia="黑体"/>
          <w:sz w:val="32"/>
          <w:szCs w:val="32"/>
        </w:rPr>
        <w:t>三、</w:t>
      </w:r>
      <w:r>
        <w:rPr>
          <w:rFonts w:hint="eastAsia" w:hAnsi="黑体" w:eastAsia="黑体"/>
          <w:sz w:val="32"/>
          <w:szCs w:val="32"/>
        </w:rPr>
        <w:t>遴</w:t>
      </w:r>
      <w:r>
        <w:rPr>
          <w:rFonts w:hAnsi="黑体" w:eastAsia="黑体"/>
          <w:sz w:val="32"/>
          <w:szCs w:val="32"/>
        </w:rPr>
        <w:t>选程序</w:t>
      </w:r>
    </w:p>
    <w:p w14:paraId="1B4BF3F5">
      <w:pPr>
        <w:tabs>
          <w:tab w:val="center" w:pos="4153"/>
        </w:tabs>
        <w:adjustRightInd w:val="0"/>
        <w:snapToGrid w:val="0"/>
        <w:spacing w:line="336" w:lineRule="auto"/>
        <w:ind w:firstLine="643" w:firstLineChars="200"/>
        <w:jc w:val="left"/>
        <w:rPr>
          <w:rFonts w:ascii="楷体_GB2312" w:eastAsia="楷体_GB2312"/>
          <w:b/>
          <w:bCs/>
          <w:sz w:val="32"/>
          <w:szCs w:val="32"/>
        </w:rPr>
      </w:pPr>
      <w:r>
        <w:rPr>
          <w:rFonts w:ascii="楷体_GB2312" w:eastAsia="楷体_GB2312"/>
          <w:b/>
          <w:bCs/>
          <w:sz w:val="32"/>
          <w:szCs w:val="32"/>
        </w:rPr>
        <w:t>（一）</w:t>
      </w:r>
      <w:r>
        <w:rPr>
          <w:rFonts w:hint="eastAsia" w:ascii="楷体_GB2312" w:eastAsia="楷体_GB2312"/>
          <w:b/>
          <w:bCs/>
          <w:sz w:val="32"/>
          <w:szCs w:val="32"/>
        </w:rPr>
        <w:t>报名及资格审定</w:t>
      </w:r>
    </w:p>
    <w:p w14:paraId="21CBFF25">
      <w:p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日17：00。</w:t>
      </w:r>
    </w:p>
    <w:p w14:paraId="2A1D7A74">
      <w:p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2.报名递交资料：</w:t>
      </w:r>
    </w:p>
    <w:p w14:paraId="14118066">
      <w:p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（1）报名函；</w:t>
      </w:r>
    </w:p>
    <w:p w14:paraId="1C7AB25E">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（2）相关专业资质、资格证明材料；</w:t>
      </w:r>
    </w:p>
    <w:p w14:paraId="1A707830">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（3）营业执照副本复印件；</w:t>
      </w:r>
    </w:p>
    <w:p w14:paraId="2E668050">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（4）体现健全的财务制度的证明材料：承诺书或者年度财务状况报告复印件。</w:t>
      </w:r>
    </w:p>
    <w:p w14:paraId="37B55A0D">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（5）法定代表人身份证复印件。</w:t>
      </w:r>
    </w:p>
    <w:p w14:paraId="3FDC4B46">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（6）法定代表人授权委托书原件和授权代表身份证复印件。</w:t>
      </w:r>
    </w:p>
    <w:p w14:paraId="69869D14">
      <w:pPr>
        <w:rPr>
          <w:rFonts w:eastAsia="仿宋_GB2312"/>
          <w:sz w:val="32"/>
          <w:szCs w:val="32"/>
        </w:rPr>
      </w:pPr>
      <w:r>
        <w:rPr>
          <w:rFonts w:hint="eastAsia" w:ascii="仿宋_GB2312" w:hAnsi="仿宋" w:eastAsia="仿宋_GB2312" w:cs="仿宋_GB2312"/>
          <w:sz w:val="32"/>
          <w:szCs w:val="32"/>
        </w:rPr>
        <w:t>以上资料均须加盖</w:t>
      </w:r>
      <w:r>
        <w:rPr>
          <w:rFonts w:hint="eastAsia" w:ascii="仿宋_GB2312" w:hAnsi="仿宋_GB2312" w:eastAsia="仿宋_GB2312" w:cs="仿宋_GB2312"/>
          <w:sz w:val="32"/>
          <w:szCs w:val="32"/>
        </w:rPr>
        <w:t>单位公章并于报名截止时间前报送至自贡市中医医院卧龙湖院区2号楼</w:t>
      </w:r>
      <w:r>
        <w:rPr>
          <w:rFonts w:hint="eastAsia" w:ascii="仿宋_GB2312" w:hAnsi="仿宋_GB2312" w:eastAsia="仿宋_GB2312" w:cs="仿宋_GB2312"/>
          <w:sz w:val="32"/>
          <w:szCs w:val="32"/>
          <w:lang w:val="en-US" w:eastAsia="zh-CN"/>
        </w:rPr>
        <w:t>408</w:t>
      </w:r>
      <w:r>
        <w:rPr>
          <w:rFonts w:hint="eastAsia" w:ascii="仿宋_GB2312" w:hAnsi="仿宋_GB2312" w:eastAsia="仿宋_GB2312" w:cs="仿宋_GB2312"/>
          <w:sz w:val="32"/>
          <w:szCs w:val="32"/>
        </w:rPr>
        <w:t>室（纸质材料1份和扫描件电子档），资格审定合格后医院将电话通知参与单位</w:t>
      </w:r>
      <w:r>
        <w:rPr>
          <w:rFonts w:hint="eastAsia" w:ascii="仿宋_GB2312" w:hAnsi="仿宋_GB2312" w:eastAsia="仿宋_GB2312" w:cs="仿宋_GB2312"/>
          <w:sz w:val="32"/>
          <w:szCs w:val="32"/>
          <w:lang w:eastAsia="zh-CN"/>
        </w:rPr>
        <w:t>，并提供</w:t>
      </w:r>
      <w:r>
        <w:rPr>
          <w:rFonts w:hint="eastAsia" w:ascii="仿宋_GB2312" w:hAnsi="仿宋_GB2312" w:eastAsia="仿宋_GB2312" w:cs="仿宋_GB2312"/>
          <w:sz w:val="32"/>
          <w:szCs w:val="32"/>
          <w:lang w:val="en-US" w:eastAsia="zh-CN"/>
        </w:rPr>
        <w:t>全病程管理信息系统</w:t>
      </w:r>
      <w:r>
        <w:rPr>
          <w:rFonts w:hint="eastAsia" w:ascii="仿宋_GB2312" w:hAnsi="仿宋_GB2312" w:eastAsia="仿宋_GB2312" w:cs="仿宋_GB2312"/>
          <w:sz w:val="32"/>
          <w:szCs w:val="32"/>
        </w:rPr>
        <w:t>合作框架协议书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现场陈述评分表</w:t>
      </w:r>
      <w:r>
        <w:rPr>
          <w:rFonts w:hint="eastAsia" w:ascii="仿宋_GB2312" w:hAnsi="仿宋_GB2312" w:eastAsia="仿宋_GB2312" w:cs="仿宋_GB2312"/>
          <w:sz w:val="32"/>
          <w:szCs w:val="32"/>
          <w:lang w:eastAsia="zh-CN"/>
        </w:rPr>
        <w:t>等资料</w:t>
      </w:r>
      <w:r>
        <w:rPr>
          <w:rFonts w:hint="eastAsia" w:ascii="仿宋_GB2312" w:hAnsi="仿宋_GB2312" w:eastAsia="仿宋_GB2312" w:cs="仿宋_GB2312"/>
          <w:sz w:val="32"/>
          <w:szCs w:val="32"/>
          <w:lang w:val="en-US" w:eastAsia="zh-CN"/>
        </w:rPr>
        <w:t>。</w:t>
      </w:r>
    </w:p>
    <w:p w14:paraId="09F85161">
      <w:pPr>
        <w:numPr>
          <w:ilvl w:val="0"/>
          <w:numId w:val="0"/>
        </w:numPr>
        <w:adjustRightInd w:val="0"/>
        <w:snapToGrid w:val="0"/>
        <w:spacing w:line="336" w:lineRule="auto"/>
        <w:ind w:firstLine="643" w:firstLineChars="200"/>
        <w:rPr>
          <w:rFonts w:ascii="楷体_GB2312" w:eastAsia="楷体_GB2312"/>
          <w:b/>
          <w:bCs/>
          <w:sz w:val="32"/>
          <w:szCs w:val="32"/>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二</w:t>
      </w:r>
      <w:r>
        <w:rPr>
          <w:rFonts w:hint="eastAsia" w:ascii="楷体_GB2312" w:eastAsia="楷体_GB2312"/>
          <w:b/>
          <w:bCs/>
          <w:sz w:val="32"/>
          <w:szCs w:val="32"/>
          <w:lang w:eastAsia="zh-CN"/>
        </w:rPr>
        <w:t>）</w:t>
      </w:r>
      <w:r>
        <w:rPr>
          <w:rFonts w:hint="eastAsia" w:ascii="楷体_GB2312" w:eastAsia="楷体_GB2312"/>
          <w:b/>
          <w:bCs/>
          <w:sz w:val="32"/>
          <w:szCs w:val="32"/>
        </w:rPr>
        <w:t>现场陈述</w:t>
      </w:r>
    </w:p>
    <w:p w14:paraId="6CFD25B5">
      <w:p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1.时间：初步定于202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日，下午14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40，若有变动将电话通知资格审核合格单位。</w:t>
      </w:r>
    </w:p>
    <w:p w14:paraId="432656DE">
      <w:p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2.地点：自贡市中医医院卧龙湖医院2号楼411会议室。</w:t>
      </w:r>
    </w:p>
    <w:p w14:paraId="259E7185">
      <w:p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3.现场资料：各参与单位按照《</w:t>
      </w:r>
      <w:r>
        <w:rPr>
          <w:rFonts w:hint="eastAsia" w:ascii="仿宋_GB2312" w:hAnsi="仿宋_GB2312" w:eastAsia="仿宋_GB2312" w:cs="仿宋_GB2312"/>
          <w:sz w:val="32"/>
          <w:szCs w:val="32"/>
          <w:lang w:val="en-US" w:eastAsia="zh-CN"/>
        </w:rPr>
        <w:t>全病程管理信息系统</w:t>
      </w:r>
      <w:r>
        <w:rPr>
          <w:rFonts w:hint="eastAsia" w:ascii="仿宋_GB2312" w:hAnsi="仿宋_GB2312" w:eastAsia="仿宋_GB2312" w:cs="仿宋_GB2312"/>
          <w:sz w:val="32"/>
          <w:szCs w:val="32"/>
        </w:rPr>
        <w:t>合作项目现场陈述评分表》(附件2)为指南，制作</w:t>
      </w:r>
      <w:r>
        <w:rPr>
          <w:rFonts w:hint="eastAsia" w:ascii="仿宋_GB2312" w:hAnsi="仿宋_GB2312" w:eastAsia="仿宋_GB2312" w:cs="仿宋_GB2312"/>
          <w:sz w:val="32"/>
          <w:szCs w:val="32"/>
        </w:rPr>
        <w:t>合作方案即遴选响应资料，现场陈述时须</w:t>
      </w:r>
      <w:r>
        <w:rPr>
          <w:rFonts w:hint="eastAsia" w:ascii="仿宋_GB2312" w:hAnsi="仿宋_GB2312" w:eastAsia="仿宋_GB2312" w:cs="仿宋_GB2312"/>
          <w:sz w:val="32"/>
          <w:szCs w:val="32"/>
        </w:rPr>
        <w:t>提供纸质版资料</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份。</w:t>
      </w:r>
    </w:p>
    <w:p w14:paraId="45B0268B">
      <w:pPr>
        <w:adjustRightInd w:val="0"/>
        <w:snapToGrid w:val="0"/>
        <w:spacing w:line="336" w:lineRule="auto"/>
        <w:ind w:firstLine="640" w:firstLineChars="200"/>
        <w:rPr>
          <w:rFonts w:ascii="仿宋_GB2312" w:hAnsi="仿宋" w:eastAsia="仿宋_GB2312" w:cs="宋体"/>
          <w:kern w:val="0"/>
          <w:sz w:val="32"/>
          <w:szCs w:val="32"/>
        </w:rPr>
      </w:pPr>
      <w:r>
        <w:rPr>
          <w:rFonts w:hint="eastAsia" w:ascii="仿宋_GB2312" w:hAnsi="仿宋_GB2312" w:eastAsia="仿宋_GB2312" w:cs="仿宋_GB2312"/>
          <w:sz w:val="32"/>
          <w:szCs w:val="32"/>
        </w:rPr>
        <w:t>4.陈述方式：参与遴选单位根据现场抽签方式，决定陈述顺序，准备不超过20分钟的PPT演示稿，主要对</w:t>
      </w:r>
      <w:r>
        <w:rPr>
          <w:rFonts w:hint="eastAsia" w:ascii="仿宋_GB2312" w:hAnsi="仿宋" w:eastAsia="仿宋_GB2312" w:cs="宋体"/>
          <w:kern w:val="0"/>
          <w:sz w:val="32"/>
          <w:szCs w:val="32"/>
        </w:rPr>
        <w:t>评分表</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系统功能、</w:t>
      </w:r>
      <w:r>
        <w:rPr>
          <w:rFonts w:hint="eastAsia" w:ascii="仿宋_GB2312" w:hAnsi="仿宋_GB2312" w:eastAsia="仿宋_GB2312" w:cs="仿宋_GB2312"/>
          <w:sz w:val="32"/>
          <w:szCs w:val="32"/>
        </w:rPr>
        <w:t>合作方案、</w:t>
      </w:r>
      <w:r>
        <w:rPr>
          <w:rFonts w:hint="eastAsia" w:ascii="仿宋_GB2312" w:hAnsi="仿宋_GB2312" w:eastAsia="仿宋_GB2312" w:cs="仿宋_GB2312"/>
          <w:sz w:val="32"/>
          <w:szCs w:val="32"/>
          <w:lang w:val="en-US" w:eastAsia="zh-CN"/>
        </w:rPr>
        <w:t>运营推广</w:t>
      </w:r>
      <w:r>
        <w:rPr>
          <w:rFonts w:hint="eastAsia" w:ascii="仿宋_GB2312" w:hAnsi="仿宋_GB2312" w:eastAsia="仿宋_GB2312" w:cs="仿宋_GB2312"/>
          <w:sz w:val="32"/>
          <w:szCs w:val="32"/>
        </w:rPr>
        <w:t>等核心内容进行陈述</w:t>
      </w:r>
      <w:r>
        <w:rPr>
          <w:rFonts w:hint="eastAsia" w:ascii="仿宋_GB2312" w:hAnsi="仿宋_GB2312" w:eastAsia="仿宋_GB2312" w:cs="仿宋_GB2312"/>
          <w:sz w:val="32"/>
          <w:szCs w:val="32"/>
          <w:lang w:val="en-US" w:eastAsia="zh-CN"/>
        </w:rPr>
        <w:t>并现场演示系统</w:t>
      </w:r>
      <w:r>
        <w:rPr>
          <w:rFonts w:hint="eastAsia" w:ascii="仿宋_GB2312" w:hAnsi="仿宋_GB2312" w:eastAsia="仿宋_GB2312" w:cs="仿宋_GB2312"/>
          <w:sz w:val="32"/>
          <w:szCs w:val="32"/>
        </w:rPr>
        <w:t>，现场答疑10分钟。各单位参与现场陈述人员不超过3人。</w:t>
      </w:r>
    </w:p>
    <w:p w14:paraId="422BBB58">
      <w:pPr>
        <w:adjustRightInd w:val="0"/>
        <w:snapToGrid w:val="0"/>
        <w:spacing w:line="336" w:lineRule="auto"/>
        <w:ind w:firstLine="640" w:firstLineChars="200"/>
        <w:rPr>
          <w:rFonts w:eastAsia="仿宋_GB2312"/>
          <w:sz w:val="32"/>
          <w:szCs w:val="32"/>
        </w:rPr>
      </w:pPr>
      <w:r>
        <w:rPr>
          <w:rFonts w:hint="eastAsia" w:eastAsia="仿宋_GB2312"/>
          <w:sz w:val="32"/>
          <w:szCs w:val="32"/>
        </w:rPr>
        <w:t>5.评分标准：遴选小组工作人员依据各单位提供的</w:t>
      </w:r>
      <w:r>
        <w:rPr>
          <w:rFonts w:hint="eastAsia" w:eastAsia="仿宋_GB2312"/>
          <w:sz w:val="32"/>
          <w:szCs w:val="32"/>
          <w:lang w:val="en-US" w:eastAsia="zh-CN"/>
        </w:rPr>
        <w:t>资料</w:t>
      </w:r>
      <w:r>
        <w:rPr>
          <w:rFonts w:hint="eastAsia" w:eastAsia="仿宋_GB2312"/>
          <w:sz w:val="32"/>
          <w:szCs w:val="32"/>
        </w:rPr>
        <w:t>和现场陈述表现进行评判打分。去掉一个最高分和一个最低分，取算术平均分，按得分高低排序，得分排名前2名的单位进入下一轮实地考察，其余单位自动淘汰。</w:t>
      </w:r>
    </w:p>
    <w:p w14:paraId="0D826717">
      <w:pPr>
        <w:adjustRightInd w:val="0"/>
        <w:snapToGrid w:val="0"/>
        <w:spacing w:line="336" w:lineRule="auto"/>
        <w:ind w:firstLine="643" w:firstLineChars="200"/>
        <w:rPr>
          <w:rFonts w:ascii="楷体_GB2312" w:eastAsia="楷体_GB2312"/>
          <w:b/>
          <w:bCs/>
          <w:sz w:val="32"/>
          <w:szCs w:val="32"/>
        </w:rPr>
      </w:pPr>
      <w:r>
        <w:rPr>
          <w:rFonts w:hint="eastAsia" w:ascii="楷体_GB2312" w:eastAsia="楷体_GB2312"/>
          <w:b/>
          <w:bCs/>
          <w:sz w:val="32"/>
          <w:szCs w:val="32"/>
        </w:rPr>
        <w:t>（三）实地考察</w:t>
      </w:r>
    </w:p>
    <w:p w14:paraId="771D9D79">
      <w:pPr>
        <w:adjustRightInd w:val="0"/>
        <w:snapToGrid w:val="0"/>
        <w:spacing w:line="336" w:lineRule="auto"/>
        <w:ind w:firstLine="640" w:firstLineChars="200"/>
        <w:rPr>
          <w:rFonts w:eastAsia="仿宋_GB2312"/>
          <w:sz w:val="32"/>
          <w:szCs w:val="32"/>
        </w:rPr>
      </w:pPr>
      <w:r>
        <w:rPr>
          <w:rFonts w:hint="eastAsia" w:ascii="仿宋_GB2312" w:hAnsi="宋体" w:eastAsia="仿宋_GB2312" w:cs="宋体"/>
          <w:kern w:val="0"/>
          <w:sz w:val="32"/>
          <w:szCs w:val="32"/>
        </w:rPr>
        <w:t>医院组织遴选小组工作人员对进入考察阶段的单位进行实地参观考察，进一步深入了解、对比，综合分析单位实力。</w:t>
      </w:r>
      <w:r>
        <w:rPr>
          <w:rFonts w:hint="eastAsia" w:eastAsia="仿宋_GB2312"/>
          <w:sz w:val="32"/>
          <w:szCs w:val="32"/>
        </w:rPr>
        <w:t>遴选小组工作人员依据实地考察情况进行评判打分排名。</w:t>
      </w:r>
    </w:p>
    <w:p w14:paraId="30D3FD7B">
      <w:pPr>
        <w:pStyle w:val="17"/>
        <w:adjustRightInd w:val="0"/>
        <w:snapToGrid w:val="0"/>
        <w:spacing w:before="0" w:after="0" w:line="336" w:lineRule="auto"/>
        <w:ind w:firstLine="640" w:firstLineChars="200"/>
        <w:jc w:val="both"/>
        <w:rPr>
          <w:b w:val="0"/>
          <w:bCs w:val="0"/>
        </w:rPr>
      </w:pPr>
      <w:r>
        <w:rPr>
          <w:rFonts w:hint="eastAsia" w:ascii="Times New Roman" w:hAnsi="Times New Roman" w:eastAsia="仿宋_GB2312"/>
          <w:b w:val="0"/>
          <w:bCs w:val="0"/>
        </w:rPr>
        <w:t>实地考察时间：待定，视医院和被考察单位实际工作情况确定。</w:t>
      </w:r>
    </w:p>
    <w:p w14:paraId="54C9DFC2">
      <w:pPr>
        <w:adjustRightInd w:val="0"/>
        <w:snapToGrid w:val="0"/>
        <w:spacing w:line="336" w:lineRule="auto"/>
        <w:ind w:firstLine="643" w:firstLineChars="200"/>
        <w:rPr>
          <w:rFonts w:ascii="楷体_GB2312" w:eastAsia="楷体_GB2312"/>
          <w:b/>
          <w:bCs/>
          <w:sz w:val="32"/>
          <w:szCs w:val="32"/>
        </w:rPr>
      </w:pPr>
      <w:r>
        <w:rPr>
          <w:rFonts w:hint="eastAsia" w:ascii="楷体_GB2312" w:eastAsia="楷体_GB2312"/>
          <w:b/>
          <w:bCs/>
          <w:sz w:val="32"/>
          <w:szCs w:val="32"/>
        </w:rPr>
        <w:t>（四）综合审议</w:t>
      </w:r>
    </w:p>
    <w:p w14:paraId="4DDCD0FA">
      <w:pPr>
        <w:adjustRightInd w:val="0"/>
        <w:snapToGrid w:val="0"/>
        <w:spacing w:line="336" w:lineRule="auto"/>
        <w:ind w:firstLine="640" w:firstLineChars="200"/>
        <w:rPr>
          <w:rFonts w:ascii="仿宋_GB2312" w:hAnsi="宋体" w:eastAsia="仿宋_GB2312"/>
          <w:sz w:val="32"/>
          <w:szCs w:val="32"/>
        </w:rPr>
      </w:pPr>
      <w:r>
        <w:rPr>
          <w:rFonts w:hint="eastAsia" w:ascii="仿宋_GB2312" w:hAnsi="宋体" w:eastAsia="仿宋_GB2312"/>
          <w:sz w:val="32"/>
          <w:szCs w:val="32"/>
        </w:rPr>
        <w:t>1.遴选小组工作人员根据第一轮现场陈述及第二轮实地考察排名情况，由遴选工作组进行综合评价排序，报</w:t>
      </w:r>
      <w:r>
        <w:rPr>
          <w:rFonts w:hint="eastAsia" w:ascii="仿宋_GB2312" w:hAnsi="宋体" w:eastAsia="仿宋_GB2312"/>
          <w:sz w:val="32"/>
          <w:szCs w:val="32"/>
          <w:lang w:eastAsia="zh-CN"/>
        </w:rPr>
        <w:t>医院</w:t>
      </w:r>
      <w:r>
        <w:rPr>
          <w:rFonts w:hint="eastAsia" w:ascii="仿宋_GB2312" w:hAnsi="宋体" w:eastAsia="仿宋_GB2312"/>
          <w:sz w:val="32"/>
          <w:szCs w:val="32"/>
        </w:rPr>
        <w:t>院长办公会研究决定并提请党委会审定。</w:t>
      </w:r>
    </w:p>
    <w:p w14:paraId="5260042F">
      <w:pPr>
        <w:adjustRightInd w:val="0"/>
        <w:snapToGrid w:val="0"/>
        <w:spacing w:line="336" w:lineRule="auto"/>
        <w:ind w:firstLine="640" w:firstLineChars="200"/>
        <w:rPr>
          <w:rFonts w:ascii="仿宋_GB2312" w:hAnsi="宋体" w:eastAsia="仿宋_GB2312"/>
          <w:sz w:val="32"/>
          <w:szCs w:val="32"/>
        </w:rPr>
      </w:pPr>
      <w:r>
        <w:rPr>
          <w:rFonts w:hint="eastAsia" w:ascii="仿宋_GB2312" w:hAnsi="宋体" w:eastAsia="仿宋_GB2312"/>
          <w:sz w:val="32"/>
          <w:szCs w:val="32"/>
        </w:rPr>
        <w:t>2.通过医院两会审定后初步确定合作单位，双方根据</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全病程管理信息系统</w:t>
      </w:r>
      <w:r>
        <w:rPr>
          <w:rFonts w:hint="eastAsia" w:ascii="仿宋_GB2312" w:hAnsi="仿宋" w:eastAsia="仿宋_GB2312" w:cs="宋体"/>
          <w:kern w:val="0"/>
          <w:sz w:val="32"/>
          <w:szCs w:val="32"/>
        </w:rPr>
        <w:t>合作框架协议书》（附件1）和评分情况</w:t>
      </w:r>
      <w:r>
        <w:rPr>
          <w:rFonts w:hint="eastAsia" w:ascii="仿宋_GB2312" w:hAnsi="宋体" w:eastAsia="仿宋_GB2312"/>
          <w:sz w:val="32"/>
          <w:szCs w:val="32"/>
        </w:rPr>
        <w:t>共同完善</w:t>
      </w:r>
      <w:r>
        <w:rPr>
          <w:rFonts w:hint="eastAsia" w:ascii="仿宋_GB2312" w:hAnsi="仿宋" w:eastAsia="仿宋_GB2312" w:cs="宋体"/>
          <w:kern w:val="0"/>
          <w:sz w:val="32"/>
          <w:szCs w:val="32"/>
        </w:rPr>
        <w:t>合作协议，</w:t>
      </w:r>
      <w:r>
        <w:rPr>
          <w:rFonts w:hint="eastAsia" w:ascii="仿宋_GB2312" w:hAnsi="宋体" w:eastAsia="仿宋_GB2312"/>
          <w:sz w:val="32"/>
          <w:szCs w:val="32"/>
        </w:rPr>
        <w:t>报市卫生健康委备案。</w:t>
      </w:r>
    </w:p>
    <w:p w14:paraId="32C09D77">
      <w:pPr>
        <w:adjustRightInd w:val="0"/>
        <w:snapToGrid w:val="0"/>
        <w:spacing w:line="336" w:lineRule="auto"/>
        <w:ind w:firstLine="643" w:firstLineChars="200"/>
        <w:rPr>
          <w:rFonts w:ascii="楷体_GB2312" w:eastAsia="楷体_GB2312"/>
          <w:b/>
          <w:bCs/>
          <w:sz w:val="32"/>
          <w:szCs w:val="32"/>
        </w:rPr>
      </w:pPr>
      <w:r>
        <w:rPr>
          <w:rFonts w:hint="eastAsia" w:ascii="楷体_GB2312" w:eastAsia="楷体_GB2312"/>
          <w:b/>
          <w:bCs/>
          <w:sz w:val="32"/>
          <w:szCs w:val="32"/>
        </w:rPr>
        <w:t>（五）结果公示</w:t>
      </w:r>
    </w:p>
    <w:p w14:paraId="36EDA055">
      <w:pPr>
        <w:widowControl/>
        <w:adjustRightInd w:val="0"/>
        <w:snapToGrid w:val="0"/>
        <w:spacing w:line="336" w:lineRule="auto"/>
        <w:ind w:firstLine="640" w:firstLineChars="200"/>
        <w:jc w:val="left"/>
        <w:rPr>
          <w:rFonts w:ascii="仿宋_GB2312" w:hAnsi="宋体" w:eastAsia="仿宋_GB2312" w:cs="宋体"/>
          <w:kern w:val="0"/>
          <w:sz w:val="32"/>
          <w:szCs w:val="32"/>
        </w:rPr>
      </w:pPr>
      <w:r>
        <w:rPr>
          <w:rFonts w:hint="eastAsia" w:ascii="仿宋_GB2312" w:hAnsi="仿宋_GB2312" w:eastAsia="仿宋_GB2312" w:cs="仿宋_GB2312"/>
          <w:sz w:val="32"/>
          <w:szCs w:val="32"/>
        </w:rPr>
        <w:t>医院网站公布拟合作单位，公示期3天。若无异议，则签订具体合作协议。</w:t>
      </w:r>
      <w:r>
        <w:rPr>
          <w:rFonts w:hint="eastAsia" w:ascii="仿宋_GB2312" w:hAnsi="宋体" w:eastAsia="仿宋_GB2312" w:cs="宋体"/>
          <w:kern w:val="0"/>
          <w:sz w:val="32"/>
          <w:szCs w:val="32"/>
        </w:rPr>
        <w:t>医院纪检监察人员对</w:t>
      </w:r>
      <w:r>
        <w:rPr>
          <w:rFonts w:ascii="仿宋_GB2312" w:hAnsi="宋体" w:eastAsia="仿宋_GB2312" w:cs="宋体"/>
          <w:kern w:val="0"/>
          <w:sz w:val="32"/>
          <w:szCs w:val="32"/>
        </w:rPr>
        <w:t>整个</w:t>
      </w:r>
      <w:r>
        <w:rPr>
          <w:rFonts w:hint="eastAsia" w:ascii="仿宋_GB2312" w:hAnsi="宋体" w:eastAsia="仿宋_GB2312" w:cs="宋体"/>
          <w:kern w:val="0"/>
          <w:sz w:val="32"/>
          <w:szCs w:val="32"/>
        </w:rPr>
        <w:t>遴选工作进行全程监督。</w:t>
      </w:r>
    </w:p>
    <w:p w14:paraId="0A13983D">
      <w:pPr>
        <w:adjustRightInd w:val="0"/>
        <w:snapToGrid w:val="0"/>
        <w:spacing w:line="336" w:lineRule="auto"/>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rPr>
        <w:t>四、</w:t>
      </w:r>
      <w:r>
        <w:rPr>
          <w:rFonts w:hint="eastAsia" w:eastAsia="仿宋_GB2312"/>
          <w:sz w:val="32"/>
          <w:szCs w:val="32"/>
        </w:rPr>
        <w:t>未尽事宜</w:t>
      </w:r>
      <w:r>
        <w:rPr>
          <w:rFonts w:hint="eastAsia" w:ascii="仿宋_GB2312" w:hAnsi="仿宋_GB2312" w:eastAsia="仿宋_GB2312" w:cs="仿宋_GB2312"/>
          <w:sz w:val="32"/>
          <w:szCs w:val="32"/>
        </w:rPr>
        <w:t>敬请联系</w:t>
      </w:r>
      <w:r>
        <w:rPr>
          <w:rFonts w:hint="eastAsia" w:ascii="仿宋_GB2312" w:hAnsi="仿宋_GB2312" w:eastAsia="仿宋_GB2312" w:cs="仿宋_GB2312"/>
          <w:sz w:val="32"/>
          <w:szCs w:val="32"/>
          <w:lang w:val="en-US" w:eastAsia="zh-CN"/>
        </w:rPr>
        <w:t>事业发展科</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张洁菲</w:t>
      </w:r>
      <w:r>
        <w:rPr>
          <w:rFonts w:hint="eastAsia" w:ascii="仿宋_GB2312" w:hAnsi="仿宋_GB2312" w:eastAsia="仿宋_GB2312" w:cs="仿宋_GB2312"/>
          <w:sz w:val="32"/>
          <w:szCs w:val="32"/>
        </w:rPr>
        <w:t>，电话：0813-</w:t>
      </w:r>
      <w:r>
        <w:rPr>
          <w:rFonts w:hint="eastAsia" w:ascii="仿宋_GB2312" w:hAnsi="仿宋_GB2312" w:eastAsia="仿宋_GB2312" w:cs="仿宋_GB2312"/>
          <w:sz w:val="32"/>
          <w:szCs w:val="32"/>
          <w:lang w:val="en-US" w:eastAsia="zh-CN"/>
        </w:rPr>
        <w:t>5110827，</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t>443915227</w:t>
      </w:r>
      <w:r>
        <w:rPr>
          <w:rFonts w:hint="eastAsia" w:ascii="仿宋_GB2312" w:hAnsi="仿宋_GB2312" w:eastAsia="仿宋_GB2312" w:cs="仿宋_GB2312"/>
          <w:sz w:val="32"/>
          <w:szCs w:val="32"/>
        </w:rPr>
        <w:t>@qq.com</w:t>
      </w:r>
      <w:r>
        <w:rPr>
          <w:rFonts w:hint="eastAsia" w:ascii="仿宋_GB2312" w:hAnsi="仿宋_GB2312" w:eastAsia="仿宋_GB2312" w:cs="仿宋_GB2312"/>
          <w:sz w:val="32"/>
          <w:szCs w:val="32"/>
          <w:lang w:eastAsia="zh-CN"/>
        </w:rPr>
        <w:t>。</w:t>
      </w:r>
    </w:p>
    <w:p w14:paraId="01005ED2">
      <w:pPr>
        <w:rPr>
          <w:rFonts w:ascii="仿宋_GB2312" w:eastAsia="仿宋_GB2312"/>
          <w:sz w:val="32"/>
          <w:szCs w:val="32"/>
        </w:rPr>
      </w:pPr>
      <w:r>
        <w:rPr>
          <w:rFonts w:hint="eastAsia" w:ascii="仿宋_GB2312" w:hAnsi="仿宋_GB2312" w:eastAsia="仿宋_GB2312" w:cs="仿宋_GB2312"/>
          <w:sz w:val="32"/>
          <w:szCs w:val="32"/>
        </w:rPr>
        <w:t>附件：1.</w:t>
      </w:r>
      <w:r>
        <w:rPr>
          <w:rFonts w:hint="eastAsia" w:ascii="仿宋_GB2312" w:hAnsi="仿宋" w:eastAsia="仿宋_GB2312" w:cs="宋体"/>
          <w:kern w:val="0"/>
          <w:sz w:val="32"/>
          <w:szCs w:val="32"/>
          <w:lang w:val="en-US" w:eastAsia="zh-CN"/>
        </w:rPr>
        <w:t>全病程管理信息系统</w:t>
      </w:r>
      <w:r>
        <w:rPr>
          <w:rFonts w:hint="eastAsia" w:ascii="仿宋_GB2312" w:eastAsia="仿宋_GB2312"/>
          <w:sz w:val="32"/>
          <w:szCs w:val="32"/>
        </w:rPr>
        <w:t>合作框架协议书</w:t>
      </w:r>
    </w:p>
    <w:p w14:paraId="02769B83">
      <w:pPr>
        <w:numPr>
          <w:ilvl w:val="0"/>
          <w:numId w:val="0"/>
        </w:num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全病程管理信息系统</w:t>
      </w:r>
      <w:r>
        <w:rPr>
          <w:rFonts w:hint="eastAsia" w:ascii="仿宋_GB2312" w:hAnsi="仿宋_GB2312" w:eastAsia="仿宋_GB2312" w:cs="仿宋_GB2312"/>
          <w:sz w:val="32"/>
          <w:szCs w:val="32"/>
        </w:rPr>
        <w:t>合作项目现场陈述评分表</w:t>
      </w:r>
    </w:p>
    <w:p w14:paraId="0A54DD3C">
      <w:pPr>
        <w:pStyle w:val="6"/>
        <w:numPr>
          <w:ilvl w:val="0"/>
          <w:numId w:val="0"/>
        </w:numPr>
        <w:ind w:firstLine="960" w:firstLineChars="3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3.全病程管理信息系统合作项目实地考察评分表</w:t>
      </w:r>
    </w:p>
    <w:p w14:paraId="25D6E831">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sz w:val="32"/>
          <w:szCs w:val="32"/>
        </w:rPr>
      </w:pPr>
    </w:p>
    <w:p w14:paraId="209F0A32">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sz w:val="32"/>
          <w:szCs w:val="32"/>
        </w:rPr>
      </w:pPr>
    </w:p>
    <w:p w14:paraId="51619E4B">
      <w:pPr>
        <w:keepNext w:val="0"/>
        <w:keepLines w:val="0"/>
        <w:pageBreakBefore w:val="0"/>
        <w:widowControl w:val="0"/>
        <w:kinsoku/>
        <w:wordWrap/>
        <w:overflowPunct/>
        <w:topLinePunct w:val="0"/>
        <w:autoSpaceDE/>
        <w:autoSpaceDN/>
        <w:bidi w:val="0"/>
        <w:adjustRightInd w:val="0"/>
        <w:snapToGrid w:val="0"/>
        <w:spacing w:line="336" w:lineRule="auto"/>
        <w:ind w:firstLine="5120" w:firstLineChars="1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自贡市中医医院</w:t>
      </w:r>
    </w:p>
    <w:p w14:paraId="6542BC39">
      <w:pPr>
        <w:keepNext w:val="0"/>
        <w:keepLines w:val="0"/>
        <w:pageBreakBefore w:val="0"/>
        <w:widowControl w:val="0"/>
        <w:kinsoku/>
        <w:wordWrap/>
        <w:overflowPunct/>
        <w:topLinePunct w:val="0"/>
        <w:autoSpaceDE/>
        <w:autoSpaceDN/>
        <w:bidi w:val="0"/>
        <w:adjustRightInd w:val="0"/>
        <w:snapToGrid w:val="0"/>
        <w:spacing w:line="336" w:lineRule="auto"/>
        <w:ind w:firstLine="5120" w:firstLineChars="1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5月22</w:t>
      </w:r>
      <w:r>
        <w:rPr>
          <w:rFonts w:hint="eastAsia" w:ascii="仿宋_GB2312" w:hAnsi="仿宋_GB2312" w:eastAsia="仿宋_GB2312" w:cs="仿宋_GB2312"/>
          <w:sz w:val="32"/>
          <w:szCs w:val="32"/>
        </w:rPr>
        <w:t>日</w:t>
      </w:r>
    </w:p>
    <w:p w14:paraId="34346E9B">
      <w:pPr>
        <w:pStyle w:val="7"/>
        <w:ind w:firstLine="320"/>
        <w:rPr>
          <w:rFonts w:ascii="黑体" w:hAnsi="黑体" w:eastAsia="黑体" w:cs="黑体"/>
          <w:kern w:val="0"/>
          <w:sz w:val="32"/>
          <w:szCs w:val="32"/>
        </w:rPr>
      </w:pPr>
    </w:p>
    <w:p w14:paraId="0CB1758A">
      <w:pPr>
        <w:pStyle w:val="7"/>
        <w:ind w:firstLine="320"/>
        <w:rPr>
          <w:rFonts w:ascii="黑体" w:hAnsi="黑体" w:eastAsia="黑体" w:cs="黑体"/>
          <w:kern w:val="0"/>
          <w:sz w:val="32"/>
          <w:szCs w:val="32"/>
        </w:rPr>
      </w:pPr>
    </w:p>
    <w:p w14:paraId="4283E5A5">
      <w:pPr>
        <w:pStyle w:val="7"/>
        <w:ind w:firstLine="320"/>
        <w:rPr>
          <w:rFonts w:ascii="黑体" w:hAnsi="黑体" w:eastAsia="黑体" w:cs="黑体"/>
          <w:kern w:val="0"/>
          <w:sz w:val="32"/>
          <w:szCs w:val="32"/>
        </w:rPr>
      </w:pPr>
    </w:p>
    <w:p w14:paraId="213CBD85">
      <w:pPr>
        <w:pStyle w:val="7"/>
        <w:ind w:firstLine="320"/>
        <w:rPr>
          <w:rFonts w:ascii="黑体" w:hAnsi="黑体" w:eastAsia="黑体" w:cs="黑体"/>
          <w:kern w:val="0"/>
          <w:sz w:val="32"/>
          <w:szCs w:val="32"/>
        </w:rPr>
      </w:pPr>
    </w:p>
    <w:p w14:paraId="75065EB0">
      <w:pPr>
        <w:pStyle w:val="7"/>
        <w:ind w:firstLine="320"/>
        <w:rPr>
          <w:rFonts w:ascii="黑体" w:hAnsi="黑体" w:eastAsia="黑体" w:cs="黑体"/>
          <w:kern w:val="0"/>
          <w:sz w:val="32"/>
          <w:szCs w:val="32"/>
        </w:rPr>
      </w:pPr>
    </w:p>
    <w:p w14:paraId="00C6A1BC">
      <w:pPr>
        <w:pStyle w:val="7"/>
        <w:ind w:firstLine="320"/>
        <w:rPr>
          <w:rFonts w:ascii="黑体" w:hAnsi="黑体" w:eastAsia="黑体" w:cs="黑体"/>
          <w:kern w:val="0"/>
          <w:sz w:val="32"/>
          <w:szCs w:val="32"/>
        </w:rPr>
      </w:pPr>
    </w:p>
    <w:p w14:paraId="75FBCAE9">
      <w:pPr>
        <w:pStyle w:val="7"/>
        <w:ind w:firstLine="320"/>
        <w:rPr>
          <w:rFonts w:ascii="黑体" w:hAnsi="黑体" w:eastAsia="黑体" w:cs="黑体"/>
          <w:kern w:val="0"/>
          <w:sz w:val="32"/>
          <w:szCs w:val="32"/>
        </w:rPr>
      </w:pPr>
    </w:p>
    <w:p w14:paraId="640954CE">
      <w:pPr>
        <w:pStyle w:val="7"/>
        <w:ind w:firstLine="320"/>
        <w:rPr>
          <w:rFonts w:ascii="黑体" w:hAnsi="黑体" w:eastAsia="黑体" w:cs="黑体"/>
          <w:kern w:val="0"/>
          <w:sz w:val="32"/>
          <w:szCs w:val="32"/>
        </w:rPr>
      </w:pPr>
    </w:p>
    <w:p w14:paraId="49238441">
      <w:pPr>
        <w:pStyle w:val="7"/>
        <w:ind w:firstLine="320"/>
        <w:rPr>
          <w:rFonts w:ascii="黑体" w:hAnsi="黑体" w:eastAsia="黑体" w:cs="黑体"/>
          <w:kern w:val="0"/>
          <w:sz w:val="32"/>
          <w:szCs w:val="32"/>
        </w:rPr>
      </w:pPr>
    </w:p>
    <w:p w14:paraId="5B72DDF6">
      <w:pPr>
        <w:pStyle w:val="7"/>
        <w:ind w:firstLine="320"/>
        <w:rPr>
          <w:rFonts w:ascii="黑体" w:hAnsi="黑体" w:eastAsia="黑体" w:cs="黑体"/>
          <w:kern w:val="0"/>
          <w:sz w:val="32"/>
          <w:szCs w:val="32"/>
        </w:rPr>
      </w:pPr>
    </w:p>
    <w:p w14:paraId="53969AB2">
      <w:pPr>
        <w:pStyle w:val="7"/>
        <w:ind w:firstLine="320"/>
        <w:rPr>
          <w:rFonts w:ascii="黑体" w:hAnsi="黑体" w:eastAsia="黑体" w:cs="黑体"/>
          <w:kern w:val="0"/>
          <w:sz w:val="32"/>
          <w:szCs w:val="32"/>
        </w:rPr>
      </w:pPr>
    </w:p>
    <w:p w14:paraId="6E26BB55">
      <w:pPr>
        <w:rPr>
          <w:rFonts w:ascii="仿宋_GB2312" w:eastAsia="仿宋_GB2312"/>
          <w:sz w:val="32"/>
          <w:szCs w:val="32"/>
        </w:rPr>
      </w:pPr>
      <w:r>
        <w:rPr>
          <w:rFonts w:hint="eastAsia" w:ascii="黑体" w:hAnsi="黑体" w:eastAsia="黑体" w:cs="黑体"/>
          <w:kern w:val="0"/>
          <w:sz w:val="32"/>
          <w:szCs w:val="32"/>
        </w:rPr>
        <w:t>附件1：</w:t>
      </w:r>
    </w:p>
    <w:p w14:paraId="0EA5D616">
      <w:pPr>
        <w:pStyle w:val="2"/>
        <w:widowControl/>
        <w:adjustRightInd w:val="0"/>
        <w:snapToGrid w:val="0"/>
        <w:spacing w:before="0" w:beforeAutospacing="0" w:after="0" w:afterAutospacing="0" w:line="336" w:lineRule="auto"/>
        <w:jc w:val="center"/>
        <w:rPr>
          <w:rFonts w:hint="default" w:ascii="微软雅黑" w:hAnsi="微软雅黑" w:eastAsia="微软雅黑" w:cs="微软雅黑"/>
          <w:sz w:val="44"/>
          <w:szCs w:val="44"/>
        </w:rPr>
      </w:pPr>
      <w:r>
        <w:rPr>
          <w:rFonts w:hint="eastAsia" w:ascii="微软雅黑" w:hAnsi="微软雅黑" w:eastAsia="微软雅黑" w:cs="微软雅黑"/>
          <w:b w:val="0"/>
          <w:sz w:val="44"/>
          <w:szCs w:val="44"/>
          <w:lang w:val="en-US" w:eastAsia="zh-CN"/>
        </w:rPr>
        <w:t>全病程管理信息系统</w:t>
      </w:r>
      <w:r>
        <w:rPr>
          <w:rFonts w:ascii="微软雅黑" w:hAnsi="微软雅黑" w:eastAsia="微软雅黑" w:cs="微软雅黑"/>
          <w:b w:val="0"/>
          <w:sz w:val="44"/>
          <w:szCs w:val="44"/>
        </w:rPr>
        <w:t>合作框架协议书</w:t>
      </w:r>
    </w:p>
    <w:p w14:paraId="1E73DDA8">
      <w:pPr>
        <w:adjustRightInd w:val="0"/>
        <w:snapToGrid w:val="0"/>
        <w:spacing w:line="336" w:lineRule="auto"/>
        <w:ind w:left="180" w:right="-512"/>
        <w:jc w:val="center"/>
        <w:rPr>
          <w:rFonts w:ascii="宋体" w:hAnsi="宋体"/>
          <w:sz w:val="24"/>
        </w:rPr>
      </w:pPr>
    </w:p>
    <w:p w14:paraId="469078AD">
      <w:pPr>
        <w:adjustRightInd w:val="0"/>
        <w:snapToGrid w:val="0"/>
        <w:spacing w:line="336" w:lineRule="auto"/>
        <w:rPr>
          <w:rFonts w:ascii="仿宋_GB2312" w:hAnsi="仿宋" w:eastAsia="仿宋_GB2312" w:cs="仿宋"/>
          <w:sz w:val="32"/>
          <w:szCs w:val="32"/>
        </w:rPr>
      </w:pPr>
      <w:r>
        <w:rPr>
          <w:rFonts w:hint="eastAsia" w:ascii="仿宋_GB2312" w:hAnsi="仿宋" w:eastAsia="仿宋_GB2312" w:cs="仿宋"/>
          <w:sz w:val="32"/>
          <w:szCs w:val="32"/>
        </w:rPr>
        <w:t>甲方：</w:t>
      </w:r>
      <w:r>
        <w:rPr>
          <w:rFonts w:hint="eastAsia" w:ascii="仿宋_GB2312" w:hAnsi="仿宋" w:eastAsia="仿宋_GB2312" w:cs="仿宋"/>
          <w:sz w:val="32"/>
          <w:szCs w:val="32"/>
          <w:u w:val="single"/>
        </w:rPr>
        <w:t xml:space="preserve">自贡市中医医院 </w:t>
      </w:r>
    </w:p>
    <w:p w14:paraId="3F1ED91D">
      <w:pPr>
        <w:adjustRightInd w:val="0"/>
        <w:snapToGrid w:val="0"/>
        <w:spacing w:line="336" w:lineRule="auto"/>
        <w:rPr>
          <w:rFonts w:ascii="仿宋_GB2312" w:hAnsi="仿宋" w:eastAsia="仿宋_GB2312" w:cs="仿宋"/>
          <w:sz w:val="32"/>
          <w:szCs w:val="32"/>
          <w:u w:val="single"/>
        </w:rPr>
      </w:pPr>
      <w:r>
        <w:rPr>
          <w:rFonts w:hint="eastAsia" w:ascii="仿宋_GB2312" w:hAnsi="仿宋" w:eastAsia="仿宋_GB2312" w:cs="仿宋"/>
          <w:sz w:val="32"/>
          <w:szCs w:val="32"/>
        </w:rPr>
        <w:t>乙方：</w:t>
      </w:r>
      <w:r>
        <w:rPr>
          <w:rFonts w:hint="eastAsia" w:ascii="仿宋_GB2312" w:hAnsi="仿宋" w:eastAsia="仿宋_GB2312" w:cs="仿宋"/>
          <w:sz w:val="32"/>
          <w:szCs w:val="32"/>
          <w:u w:val="single"/>
        </w:rPr>
        <w:t xml:space="preserve">               </w:t>
      </w:r>
    </w:p>
    <w:p w14:paraId="1FA7EBDB">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为深入贯彻落实国家、省、市关于构建全生命周期健康服务体系的工作部署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推动医疗服务模式从“诊疗为中心”向“人民健康为中心”转变，切实提升慢病管理、专病管理信息化、规范化水平，实现慢病与专病全流程闭环管理</w:t>
      </w:r>
      <w:r>
        <w:rPr>
          <w:rFonts w:hint="eastAsia" w:ascii="仿宋_GB2312" w:hAnsi="仿宋_GB2312" w:eastAsia="仿宋_GB2312" w:cs="仿宋_GB2312"/>
          <w:sz w:val="32"/>
          <w:szCs w:val="32"/>
        </w:rPr>
        <w:t>。按照相关法律法规和政策要求，甲乙双方经平等、自愿、协商一致，就开展</w:t>
      </w:r>
      <w:r>
        <w:rPr>
          <w:rFonts w:hint="eastAsia" w:ascii="仿宋_GB2312" w:hAnsi="仿宋_GB2312" w:eastAsia="仿宋_GB2312" w:cs="仿宋_GB2312"/>
          <w:sz w:val="32"/>
          <w:szCs w:val="32"/>
          <w:lang w:val="en-US" w:eastAsia="zh-CN"/>
        </w:rPr>
        <w:t>全病程管理信息系统</w:t>
      </w:r>
      <w:r>
        <w:rPr>
          <w:rFonts w:hint="eastAsia" w:ascii="仿宋_GB2312" w:hAnsi="仿宋_GB2312" w:eastAsia="仿宋_GB2312" w:cs="仿宋_GB2312"/>
          <w:sz w:val="32"/>
          <w:szCs w:val="32"/>
        </w:rPr>
        <w:t>合作项目事宜达成以下协议：</w:t>
      </w:r>
    </w:p>
    <w:p w14:paraId="5750CC86">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第一条   合作目的</w:t>
      </w:r>
    </w:p>
    <w:p w14:paraId="2B9CD2D1">
      <w:pPr>
        <w:adjustRightInd w:val="0"/>
        <w:snapToGrid w:val="0"/>
        <w:spacing w:line="336" w:lineRule="auto"/>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sz w:val="32"/>
          <w:szCs w:val="32"/>
          <w:lang w:val="en-US" w:eastAsia="zh-CN"/>
        </w:rPr>
        <w:t>为进一步提升甲方慢病管理、专病管理规范化、精准化、信息化水平，完善慢病及专病患者诊疗追踪、健康管理及科研数据采集体系，支撑甲方国家科技重大专项“地市级重大慢病高质量协同创新模式示范”项目顺利推进，充分发挥甲方临床资源优势与乙方信息化技术优势，通过共建全病程管理信息系统，实现双方资源互补、成果共享、互利共赢，助力甲方打造“慢病+专病”一体化全流程管理服务模式，同时推动乙方技术成果落地应用，达成社会效益与合作效益双提升</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系统需全面支撑甲方慢病管理中心“管患者、管数据、管推广”三大核心职能，满足慢病管理中心七大职能的信息化需求。</w:t>
      </w:r>
    </w:p>
    <w:p w14:paraId="692303C7">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第二条   合作原则</w:t>
      </w:r>
    </w:p>
    <w:p w14:paraId="75F2E3C6">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乙双方本着平等自愿、诚实信用、优势互补、共建共享、互利共赢、依法合规的原则开展本次合作，严格遵守国家相关法律法规及行业规范，尊重双方核心权益，坚守医疗数据安全底线，协同推进全病程管理信息系统共建工作，紧扣“慢病+专病”全流程管理需求，兼顾社会效益与合作效益，确保合作规范、有效、长效推进</w:t>
      </w:r>
      <w:r>
        <w:rPr>
          <w:rFonts w:hint="eastAsia" w:ascii="仿宋_GB2312" w:hAnsi="仿宋_GB2312" w:eastAsia="仿宋_GB2312" w:cs="仿宋_GB2312"/>
          <w:sz w:val="32"/>
          <w:szCs w:val="32"/>
        </w:rPr>
        <w:t>。</w:t>
      </w:r>
    </w:p>
    <w:p w14:paraId="6BCB71C6">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第三条  合作内容</w:t>
      </w:r>
    </w:p>
    <w:p w14:paraId="4AFEC69B">
      <w:pPr>
        <w:adjustRightInd w:val="0"/>
        <w:snapToGrid w:val="0"/>
        <w:spacing w:line="336" w:lineRule="auto"/>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系统共建</w:t>
      </w:r>
    </w:p>
    <w:p w14:paraId="73A2F158">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负责全病程管理信息系统的研发、部署、调试及优化，且根据甲方业务发展实际需求免费增加功能模块，确保系统功能贴合甲方慢病管理中心、健康管理中心、体重管理门诊、临床专病等科室需求，既能满足各类慢病管理，也能适配专病管理需求，实现慢病与专病患者“防筛诊治康管供”全流程闭环管理，同时能与甲方使用的信息系统、智能化设施设备对接互通，有效联通区域性慢病管理平台，可完成院内慢病管理与区域性慢病管理平台的双向数据打通，支撑慢病及专病患者管理相关数据采集与溯源、诊疗干预追踪及科研数据支撑等工作。</w:t>
      </w:r>
    </w:p>
    <w:p w14:paraId="05050220">
      <w:pPr>
        <w:adjustRightInd w:val="0"/>
        <w:snapToGrid w:val="0"/>
        <w:spacing w:line="336" w:lineRule="auto"/>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系统功能需具体包括以下模块：</w:t>
      </w:r>
    </w:p>
    <w:p w14:paraId="72DB2ED0">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出院患者管理模块：支持慢病管理师参与临床科室交班查房，制定出院随诊方案，实施分级分类随访；</w:t>
      </w:r>
    </w:p>
    <w:p w14:paraId="7D32146D">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筛查患者管理模块：支持异常指标人群识别、动态追踪、精准分流；</w:t>
      </w:r>
    </w:p>
    <w:p w14:paraId="39C623C2">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3.</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辖区患者管理模块：支持与疾控中心、基层医疗机构双向转诊与数据互通；</w:t>
      </w:r>
    </w:p>
    <w:p w14:paraId="09D1D7C4">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4.</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慢病诊室管理模块：支持线下接诊、健康评估、档案建立；</w:t>
      </w:r>
    </w:p>
    <w:p w14:paraId="2C4C5C55">
      <w:pPr>
        <w:pStyle w:val="16"/>
        <w:keepNext w:val="0"/>
        <w:keepLines w:val="0"/>
        <w:widowControl/>
        <w:suppressLineNumbers w:val="0"/>
        <w:spacing w:before="0" w:beforeAutospacing="0" w:after="0" w:afterAutospacing="0"/>
        <w:ind w:left="0" w:right="0" w:firstLine="640" w:firstLineChars="200"/>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中医药特色服务模块：支持中医体质辨识、膏方调理、穴位贴敷、康复理疗、养生功法推广等服务的记录与管理；</w:t>
      </w:r>
    </w:p>
    <w:p w14:paraId="34E56483">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6.</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增值服务开发模块：支持慢病管理服务包的设计、推广、签约与履约管理；</w:t>
      </w:r>
    </w:p>
    <w:p w14:paraId="56CF063E">
      <w:pPr>
        <w:pStyle w:val="16"/>
        <w:keepNext w:val="0"/>
        <w:keepLines w:val="0"/>
        <w:widowControl/>
        <w:suppressLineNumbers w:val="0"/>
        <w:spacing w:before="0" w:beforeAutospacing="0" w:after="0" w:afterAutospacing="0"/>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7.</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智慧化服务支撑模块：支持数据互联互通、随访自动化、风险预警精准化</w:t>
      </w:r>
      <w:r>
        <w:rPr>
          <w:rFonts w:hint="eastAsia" w:ascii="仿宋_GB2312" w:hAnsi="仿宋_GB2312" w:eastAsia="仿宋_GB2312" w:cs="仿宋_GB2312"/>
          <w:kern w:val="2"/>
          <w:sz w:val="32"/>
          <w:szCs w:val="32"/>
          <w:lang w:val="en-US" w:eastAsia="zh-CN" w:bidi="ar-SA"/>
        </w:rPr>
        <w:t>，支持</w:t>
      </w:r>
      <w:r>
        <w:rPr>
          <w:rFonts w:hint="default" w:ascii="仿宋_GB2312" w:hAnsi="仿宋_GB2312" w:eastAsia="仿宋_GB2312" w:cs="仿宋_GB2312"/>
          <w:kern w:val="2"/>
          <w:sz w:val="32"/>
          <w:szCs w:val="32"/>
          <w:lang w:val="en-US" w:eastAsia="zh-CN" w:bidi="ar-SA"/>
        </w:rPr>
        <w:t>绩效考核、服务包推广等</w:t>
      </w:r>
      <w:r>
        <w:rPr>
          <w:rFonts w:hint="eastAsia" w:ascii="仿宋_GB2312" w:hAnsi="仿宋_GB2312" w:eastAsia="仿宋_GB2312" w:cs="仿宋_GB2312"/>
          <w:kern w:val="2"/>
          <w:sz w:val="32"/>
          <w:szCs w:val="32"/>
          <w:lang w:val="en-US" w:eastAsia="zh-CN" w:bidi="ar-SA"/>
        </w:rPr>
        <w:t>数据的提取统计。</w:t>
      </w:r>
    </w:p>
    <w:p w14:paraId="294071C2">
      <w:pPr>
        <w:adjustRightInd w:val="0"/>
        <w:snapToGrid w:val="0"/>
        <w:spacing w:line="336" w:lineRule="auto"/>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需求与技术支撑</w:t>
      </w:r>
    </w:p>
    <w:p w14:paraId="1CC1D6BB">
      <w:pPr>
        <w:pStyle w:val="6"/>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甲方结合自身慢病、专病管理、科研推进及临床应用实际，及时向乙方反馈系统优化需求，乙方根据需求进行合理调整完善，持续提升系统在“慢病+专病”全流程管理中的功能性和实用性。</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提供系统全周期技术服务，包括日常运维、故障排查、系统升级、漏洞修复等，保障系统稳定、高效运行，满足甲方慢病及专病全流程管理、科研工作的常态化需求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双方共享合作成果，共同提升慢病与专病全流程管理服务质量。</w:t>
      </w:r>
    </w:p>
    <w:p w14:paraId="12DD932F">
      <w:pPr>
        <w:adjustRightInd w:val="0"/>
        <w:snapToGrid w:val="0"/>
        <w:spacing w:line="336" w:lineRule="auto"/>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（三）人员</w:t>
      </w:r>
      <w:r>
        <w:rPr>
          <w:rFonts w:hint="eastAsia" w:ascii="楷体_GB2312" w:hAnsi="楷体_GB2312" w:eastAsia="楷体_GB2312" w:cs="楷体_GB2312"/>
          <w:b/>
          <w:bCs/>
          <w:sz w:val="32"/>
          <w:szCs w:val="32"/>
          <w:lang w:val="en-US" w:eastAsia="zh-CN"/>
        </w:rPr>
        <w:t>培训</w:t>
      </w:r>
    </w:p>
    <w:p w14:paraId="797AE7C9">
      <w:pPr>
        <w:adjustRightInd w:val="0"/>
        <w:snapToGrid w:val="0"/>
        <w:spacing w:line="336" w:lineRule="auto"/>
        <w:ind w:firstLine="640" w:firstLineChars="200"/>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负责为甲方相关操作人员、管理人员提供系统使用、日常维护等专项培训，重点培训慢病与专病全流程管理相关操作功能，确保甲方人员能够熟练掌握系统操作流程，充分发挥系统一体化管理作用</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培训应包括分岗位定制化培训内容：针对全科医生重点培训评估模块、方案制定模块；针对慢病管理师重点培训随访模块、健康教育模块；针对推广专员重点培训数据分析模块、服务包管理模块。</w:t>
      </w:r>
    </w:p>
    <w:p w14:paraId="3EB47856">
      <w:pPr>
        <w:adjustRightInd w:val="0"/>
        <w:snapToGrid w:val="0"/>
        <w:spacing w:line="336" w:lineRule="auto"/>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val="en-US" w:eastAsia="zh-CN"/>
        </w:rPr>
        <w:t>运营推广</w:t>
      </w:r>
    </w:p>
    <w:p w14:paraId="5D24470B">
      <w:pPr>
        <w:adjustRightInd w:val="0"/>
        <w:snapToGrid w:val="0"/>
        <w:spacing w:line="336" w:lineRule="auto"/>
        <w:ind w:firstLine="640" w:firstLineChars="200"/>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乙方负责全病程管理信息系统的运营推广相关工作，结合甲方临床场景及“慢病+专病”全流程管理需求，制定合理的推广方案，负责系统在甲方内部的推广落地及规范使用引导，同时可在符合甲方规定及相关法律法规的前提下，合理开展系统相关的外部推广，提升系统应用效能，推广过程中产生的相关费用由乙方全额承担，不得向甲方收取任何费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乙方需安排专职运营人员负责系统推广工作，并配合甲方慢病管理中心开展中医药特色服务包的市场拓展。</w:t>
      </w:r>
    </w:p>
    <w:p w14:paraId="4CC825DE">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sz w:val="32"/>
          <w:szCs w:val="32"/>
          <w:lang w:val="en-US" w:eastAsia="zh-CN"/>
        </w:rPr>
        <w:t>乙方可在共建平台合规销售械字号医疗器械，售价不得高于同期市场公允价格；相关销售收入扣除依法应缴纳税费后，全部归乙方所有。甲方可在共建平台销售大健康产品，乙方可按约定获取销售额分成收益，药食同源产品不高于销售额3%、文创类产品不高于销售额2%。具体比例，根据遴选结果确定。</w:t>
      </w:r>
    </w:p>
    <w:p w14:paraId="61207638">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3.合作期间，合作服务包中健康管理、健康运营等非医疗服务产生的费用，乙方收益占比不高于40%。具体比例，根据遴选结果确定。</w:t>
      </w:r>
    </w:p>
    <w:p w14:paraId="5C3D9AFA">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 合作方式</w:t>
      </w:r>
    </w:p>
    <w:p w14:paraId="5F19056A">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（一）本合作采用共建共赢模式，甲方主要提供系统应用场景、</w:t>
      </w:r>
      <w:r>
        <w:rPr>
          <w:rFonts w:hint="eastAsia" w:ascii="仿宋_GB2312" w:hAnsi="仿宋_GB2312" w:eastAsia="仿宋_GB2312" w:cs="仿宋_GB2312"/>
          <w:color w:val="auto"/>
          <w:sz w:val="32"/>
          <w:szCs w:val="32"/>
          <w:highlight w:val="none"/>
          <w:lang w:val="en-US" w:eastAsia="zh-CN"/>
        </w:rPr>
        <w:t>系统接口支持、</w:t>
      </w:r>
      <w:r>
        <w:rPr>
          <w:rFonts w:hint="eastAsia" w:ascii="仿宋_GB2312" w:hAnsi="仿宋_GB2312" w:eastAsia="仿宋_GB2312" w:cs="仿宋_GB2312"/>
          <w:sz w:val="32"/>
          <w:szCs w:val="32"/>
          <w:lang w:val="en-US" w:eastAsia="zh-CN"/>
        </w:rPr>
        <w:t>临床及科研需求指导、相关业务配合等资源支撑，不承担系统研发、部署、运维、升级及人员培训等任何相关费用。</w:t>
      </w:r>
    </w:p>
    <w:p w14:paraId="1DF0CF79">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（二）乙方全额承担全病程管理信息系统的研发、部署、调试、日常运维、后期升级及相关技术服务等全部费用，负责系统全周期运营管理，保障系统正常运行，确保“慢病+专病”全流程管理功能稳定可用。</w:t>
      </w:r>
    </w:p>
    <w:p w14:paraId="1221E8A5">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（三）双方成立联合工作小组，明确各自对接人员及职责，建立常态化沟通机制，协同推进系统共建、应用及优化工作，重点协商全病程管理信息系统的功能完善等问题。</w:t>
      </w:r>
    </w:p>
    <w:p w14:paraId="3500F90F">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合作期间，双方发挥各自优势，共同推进系统的推广应用，充分发挥系统在慢病与专病全流程管理中的作用，实现资源互补、成果共享。双方各自独立承担因自身提供的医疗服务、投放或使用的医疗器械所引发的全部责任及后果。</w:t>
      </w:r>
    </w:p>
    <w:p w14:paraId="44546B6F">
      <w:pPr>
        <w:numPr>
          <w:ilvl w:val="0"/>
          <w:numId w:val="0"/>
        </w:num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第五条  成果转化及系统归属</w:t>
      </w:r>
    </w:p>
    <w:p w14:paraId="3AF207B5">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乙双方秉持优势互补、协同推进、互利共赢的原则，深度协作开展全病程管理信息系统的落地实施、日常运营、技术维护及迭代优化等相关工作，具体分工、权责边界及执行要求均按本协议约定及双方另行确认的专项方案执行。</w:t>
      </w:r>
    </w:p>
    <w:p w14:paraId="0E621B81">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甲乙双方就本合作项目实施过程中及合作期限内，共同研发、培育、形成的全部技术成果、应用成果、衍生成果、知识产权成果及其他可转化落地的合作成果，均享有合法的成果转化权利，双方可共同推进成果市场化、产业化转化落地。</w:t>
      </w:r>
    </w:p>
    <w:p w14:paraId="560F0251">
      <w:pPr>
        <w:numPr>
          <w:ilvl w:val="0"/>
          <w:numId w:val="0"/>
        </w:num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针对本项目软件使用服务费的收取标准，以及服务包销售、穿戴设备销售产生的收益，需分别明确利益分配方式，具体分配比例、结算周期、支付方式、核算标准等核心细节，根据本次遴选的结果确定。本次遴选时，若有未明确的收益项目，其利益分配比例等内容，由双方另行协商一致后签订书面补充协议予以约定；未经双方书面确认，任何一方不得单独将合作成果进行转化、转让、授权或处置，亦不得擅自收取、处置成果转化相关收益。补充协议与本协议具有同等法律效力，双方均应按约履行。</w:t>
      </w:r>
    </w:p>
    <w:p w14:paraId="0B50EE1A">
      <w:pPr>
        <w:pStyle w:val="6"/>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本合作内容中由乙方为甲方开发、定制的全病程管理信息系统（含软件程序、源代码、数据库、文档、使用手册、配置文件等全部成果物），合作期满后，其完整知识产权、所有权及相关全部权利均永久归甲方所有。合作期限届满后，乙方应向甲方移交系统全部相关资料，不得向任何第三方泄露、转让、许可该系统及相关成果。</w:t>
      </w:r>
    </w:p>
    <w:p w14:paraId="6B694F4C">
      <w:pPr>
        <w:adjustRightInd w:val="0"/>
        <w:snapToGrid w:val="0"/>
        <w:spacing w:line="336"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第五条  双方权利与义务</w:t>
      </w:r>
    </w:p>
    <w:p w14:paraId="730B2F63">
      <w:pPr>
        <w:adjustRightInd w:val="0"/>
        <w:snapToGrid w:val="0"/>
        <w:spacing w:line="336" w:lineRule="auto"/>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（一）甲方权利与义务</w:t>
      </w:r>
    </w:p>
    <w:p w14:paraId="4966F905">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1.权利</w:t>
      </w:r>
    </w:p>
    <w:p w14:paraId="1BD305A7">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（1）有权对乙方提供的系统功能、技术服务及运维质量进行监督、检查，重点核查全病程管理的功能性和可用性，提出优化建议。</w:t>
      </w:r>
    </w:p>
    <w:p w14:paraId="498DE65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（2）有权要求乙方按照双方约定及甲方需求，完善系统相关功能、保障系统稳定运行，及时处理系统故障。</w:t>
      </w:r>
    </w:p>
    <w:p w14:paraId="59DF020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（3）有权免费使用本协议约定的全病程管理信息系统及相关技术服务，自主安排相关人员使用系统开展慢病、专病全流程管理及科研工作。</w:t>
      </w:r>
    </w:p>
    <w:p w14:paraId="671B70C7">
      <w:pPr>
        <w:adjustRightInd w:val="0"/>
        <w:snapToGrid w:val="0"/>
        <w:spacing w:line="336" w:lineRule="auto"/>
        <w:ind w:firstLine="640" w:firstLineChars="200"/>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（4）有权要求乙方及甲方相关人员进行系统操作、维护等培训，重点培训全流程管理相关操作，确保系统正常应用。</w:t>
      </w:r>
    </w:p>
    <w:p w14:paraId="4F0D9BEC">
      <w:pPr>
        <w:pStyle w:val="6"/>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有权要求系统内置绩效考核管理功能，自动生成绩效考核所需数据报表，支撑中心绩效考核工作。</w:t>
      </w:r>
    </w:p>
    <w:p w14:paraId="7220497F">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2.义务</w:t>
      </w:r>
    </w:p>
    <w:p w14:paraId="297629F6">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（1）积极配合乙方完成系统部署、调试、优化及培训等工作，提供必要的工作场地、网络环境及相关基础资料，及时反馈系统在慢病、专病全流程管理应用过程中的问题及需求。</w:t>
      </w:r>
    </w:p>
    <w:p w14:paraId="22E1342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（2）规范使用系统，严格遵守系统操作流程及数据管理相关规定，规范录入慢病、专病患者全流程管理相关数据，不得擅自篡改系统数据、违规操作系统，不得将系统提供给本协议约定之外的第三方使用。</w:t>
      </w:r>
    </w:p>
    <w:p w14:paraId="38BA87CA">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（3）负责对本单位人员使用系统的行为进行管理，承担因甲方人员违规操作导致的系统故障、数据泄露等相关责任。</w:t>
      </w:r>
    </w:p>
    <w:p w14:paraId="52A1EBD0">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（4）合作过程中获取的乙方商业秘密、技术信息，不得擅自向第三方泄露。</w:t>
      </w:r>
    </w:p>
    <w:p w14:paraId="6881333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（5）积极推广系统应用，充分发挥系统在慢病管理、专病管理、临床诊疗及科研工作中的作用，配合乙方开展系统优化相关工作。</w:t>
      </w:r>
    </w:p>
    <w:p w14:paraId="1588578B">
      <w:pPr>
        <w:adjustRightInd w:val="0"/>
        <w:snapToGrid w:val="0"/>
        <w:spacing w:line="336" w:lineRule="auto"/>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（二）乙方权利与义务</w:t>
      </w:r>
    </w:p>
    <w:p w14:paraId="1FB84625">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1.权利</w:t>
      </w:r>
    </w:p>
    <w:p w14:paraId="1D131026">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（1）有权要求甲方配合完成系统部署、调试、优化及培训等工作，提供必要的基础资料及工作支持。</w:t>
      </w:r>
    </w:p>
    <w:p w14:paraId="261CA401">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（2）有权在不影响甲方正常使用的前提下，对系统进行升级、维护及优化，提前向甲方告知相关事宜。</w:t>
      </w:r>
    </w:p>
    <w:p w14:paraId="3FD22DE7">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（3）有权在合作范围内，合理利用甲方提供的应用场景、业务资源，推进系统完善及推广应用。</w:t>
      </w:r>
    </w:p>
    <w:p w14:paraId="109CCEAA">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（4）有权要求甲方规范使用系统，对甲方人员的违规操作行为提出整改意见。</w:t>
      </w:r>
    </w:p>
    <w:p w14:paraId="47CC4543">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2.义务</w:t>
      </w:r>
    </w:p>
    <w:p w14:paraId="7836A028">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（1）按照双方约定及甲方需求，完成全病程管理信息系统的研发、部署、调试工作，确保系统功能完善、运行稳定，满足甲方慢病管理、专病管理、临床诊疗及科研工作需求。</w:t>
      </w:r>
    </w:p>
    <w:p w14:paraId="3A38D486">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供全周期技术运维服务，建立故障快速响应机制，及时处理系统运行过程中出现的故障，重点保障慢病、专病全流程管理相关功能正常运转，保障系统年故障率控制在合理范围，不影响甲方正常工作开展。</w:t>
      </w:r>
    </w:p>
    <w:p w14:paraId="275FD194">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（3）负责对甲方相关人员进行系统操作、维护等培训，确保甲方人员能够熟练掌握系统使用方法，提供必要的培训资料及技术指导。</w:t>
      </w:r>
    </w:p>
    <w:p w14:paraId="269E4517">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（4）严格遵守医疗数据安全相关规定，建立完善的数据加密、权限分级管理、数据备份及恢复机制，保障甲方患者信息、科研数据及相关资料的安全、完整、可溯源，不得擅自泄露、篡改、出售相关数据。</w:t>
      </w:r>
    </w:p>
    <w:p w14:paraId="41E09717">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（5）根据甲方需求及行业发展趋势，定期对系统进行升级优化，提升系统功能及应用体验，相关升级工作不得向甲方收取任何费用。</w:t>
      </w:r>
    </w:p>
    <w:p w14:paraId="635928E3">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（6）合作过程中获取的甲方商业秘密、医疗信息及相关资料，不得擅自向第三方泄露。</w:t>
      </w:r>
    </w:p>
    <w:p w14:paraId="37D2E5E8">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（7）确保所提供的系统及技术服务符合国家相关法律法规、行业规范及医疗信息化建设标准，重点保障慢病及专病全流程管理相关功能合规、可用，承担因系统技术问题、运维不当导致的相关责任。</w:t>
      </w:r>
    </w:p>
    <w:p w14:paraId="6F182D0A">
      <w:pPr>
        <w:adjustRightInd w:val="0"/>
        <w:snapToGrid w:val="0"/>
        <w:spacing w:line="336" w:lineRule="auto"/>
        <w:ind w:firstLine="640" w:firstLineChars="200"/>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（8）系统需支持“双人复核制”数据审核流程，确保数据录入准确性与可溯源性。</w:t>
      </w:r>
    </w:p>
    <w:p w14:paraId="60F7A148">
      <w:pPr>
        <w:adjustRightInd w:val="0"/>
        <w:snapToGrid w:val="0"/>
        <w:spacing w:line="336" w:lineRule="auto"/>
        <w:ind w:firstLine="640" w:firstLineChars="200"/>
        <w:rPr>
          <w:rFonts w:hint="eastAsia"/>
          <w:b w:val="0"/>
          <w:bCs w:val="0"/>
          <w:color w:val="000000" w:themeColor="text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（9）系统需内置绩效考核管理模块，支持绩效考核各项指标自动采集、核算与可视化展示。</w:t>
      </w:r>
    </w:p>
    <w:p w14:paraId="24EE88B6">
      <w:pPr>
        <w:adjustRightInd w:val="0"/>
        <w:snapToGrid w:val="0"/>
        <w:spacing w:line="336"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第六条  系统运行与维护</w:t>
      </w:r>
    </w:p>
    <w:p w14:paraId="72F8BE9D">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（一）乙方提供的全病程管理信息系统需运行稳定、响应迅速，支持多用户同时在线操作，无频繁卡顿、崩溃等问题，保障甲方日常慢病管理、专病管理、临床诊疗及科研工作的顺畅开展。</w:t>
      </w:r>
    </w:p>
    <w:p w14:paraId="579B2520">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（二）系统需满足甲方现有硬件环境及信息系统，实现无缝对接、数据实时同步，不影响甲方原有系统正常运行，确保数据互通共享。</w:t>
      </w:r>
    </w:p>
    <w:p w14:paraId="246C1204">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服务需部署在院内本地服务器，数据不外流；</w:t>
      </w:r>
      <w:r>
        <w:rPr>
          <w:rFonts w:hint="eastAsia" w:ascii="仿宋_GB2312" w:hAnsi="仿宋_GB2312" w:eastAsia="仿宋_GB2312" w:cs="仿宋_GB2312"/>
          <w:sz w:val="32"/>
          <w:szCs w:val="32"/>
          <w:lang w:val="en-US" w:eastAsia="zh-CN"/>
        </w:rPr>
        <w:t>系统需具备完善的容错、备份及恢复功能，定期自动备份数据，可快速恢复异常数据，保障数据安全。</w:t>
      </w:r>
    </w:p>
    <w:p w14:paraId="6C202650">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（四）系统需支持根据甲方的需求，灵活调整功能，优化慢病及专病管理相关模块，提供个性化服务。</w:t>
      </w:r>
    </w:p>
    <w:p w14:paraId="3DF8482A">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（五）乙方建立常态化运维机制，安排专业运维人员负责系统日常维护，定期对系统进行检测、优化，及时发现并处理系统潜在问题。</w:t>
      </w:r>
    </w:p>
    <w:p w14:paraId="56FDDBFE">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（六）建立故障快速响应机制，接到甲方系统故障通知后，在</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lang w:val="en-US" w:eastAsia="zh-CN"/>
        </w:rPr>
        <w:t>小时内响应，</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lang w:val="en-US" w:eastAsia="zh-CN"/>
        </w:rPr>
        <w:t>小时内提出解决方案，</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lang w:val="en-US" w:eastAsia="zh-CN"/>
        </w:rPr>
        <w:t>小时内完成故障处理。</w:t>
      </w:r>
    </w:p>
    <w:p w14:paraId="16418051">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（七）定期对系统数据进行备份，备份频率不低于每周1次，确保数据丢失后可快速恢复。</w:t>
      </w:r>
    </w:p>
    <w:p w14:paraId="487486EF">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（八）按照行业规范及双方约定，定期对系统进行升级优化，需提前7个工作日向甲方告知升级内容、升级时间及注意事项，避免影响甲方正常工作。</w:t>
      </w:r>
    </w:p>
    <w:p w14:paraId="39978892">
      <w:pPr>
        <w:adjustRightInd w:val="0"/>
        <w:snapToGrid w:val="0"/>
        <w:spacing w:line="336" w:lineRule="auto"/>
        <w:ind w:firstLine="640" w:firstLineChars="200"/>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（九）系统需支持“红、黄、绿”三色分级随访管理功能，可根据患者风险评估结果自动生成个性化随访任务，并推送至责任慢病管理师。</w:t>
      </w:r>
    </w:p>
    <w:p w14:paraId="220181AB">
      <w:pPr>
        <w:adjustRightInd w:val="0"/>
        <w:snapToGrid w:val="0"/>
        <w:spacing w:line="336" w:lineRule="auto"/>
        <w:ind w:firstLine="640" w:firstLineChars="200"/>
        <w:rPr>
          <w:rFonts w:hint="eastAsia"/>
          <w:b w:val="0"/>
          <w:bCs w:val="0"/>
          <w:color w:val="000000" w:themeColor="text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（十）系统需支持多学科干预计划整合功能，可根据患者病情整合不同科室的干预方案，形成患者的长期、动态、一体化干预方案。</w:t>
      </w:r>
    </w:p>
    <w:p w14:paraId="7B12B867">
      <w:pPr>
        <w:adjustRightInd w:val="0"/>
        <w:snapToGrid w:val="0"/>
        <w:spacing w:line="336"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第七条  数据安全与保密</w:t>
      </w:r>
    </w:p>
    <w:p w14:paraId="26CA65C9">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（一）甲乙双方共同遵守《中华人民共和国网络安全法》《医疗数据安全指南》等相关法律法规，建立健全数据安全管理制度，保障全流程管理相关数据、科研数据及相关资料的安全。</w:t>
      </w:r>
    </w:p>
    <w:p w14:paraId="4418B686">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（二）乙方负责系统数据安全技术保障，采用加密传输、权限分级管理、防火墙防护等技术措施，防止数据泄露、篡改、丢失，确保慢病、专病患者全流程管理数据及其他相关数据安全、完整、可溯源。</w:t>
      </w:r>
    </w:p>
    <w:p w14:paraId="3A24348B">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系统产生的慢病及专病患者信息、科研数据及甲方相关业务数据的所有权归甲方所有，乙方仅有权在合作范围内，为履行本协议约定的服务义务使用相关数据，不得将数据用于本协议约定之外的其他目的，不得擅自向第三方泄露、出售、转让相关数据。</w:t>
      </w:r>
    </w:p>
    <w:p w14:paraId="259D241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（四）合作期间，如发生数据泄露、篡改等安全事件，乙方应立即采取应急措施控制损害扩大，并第一时间告知甲方，配合甲方做好处置工作及相关善后事宜，承担由此造成的全部责任及损失。</w:t>
      </w:r>
    </w:p>
    <w:p w14:paraId="2F53D76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双方确认，合作过程中获取的对方商业秘密、技术信息、医疗信息（含慢病、专病患者全流程管理相关信息）、数据资料及本协议内容，均为保密信息，未经对方书面同意，不得擅自向任何第三方泄露、披露、传播。</w:t>
      </w:r>
    </w:p>
    <w:p w14:paraId="0AB7D39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（六）双方应采取必要的保密措施，加强对本单位相关人员的保密管理，确保保密信息不被泄露。</w:t>
      </w:r>
    </w:p>
    <w:p w14:paraId="3C99F67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（七）本保密条款在本协议终止后仍然有效，双方仍需履行保密义务，直至相关保密信息成为公开信息或对方书面同意解除保密义务。</w:t>
      </w:r>
    </w:p>
    <w:p w14:paraId="66AA479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（八）若一方违反本保密条款，泄露对方保密信息，给对方造成损失的，应承担全部赔偿责任。</w:t>
      </w:r>
    </w:p>
    <w:p w14:paraId="4745782C">
      <w:p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第八条  合作变更</w:t>
      </w:r>
    </w:p>
    <w:p w14:paraId="7B65F2EB">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（一）本协议的任何变更，需经双方友好协商一致，并签订书面补充协议，补充协议与本协议具有同等法律效力。</w:t>
      </w:r>
    </w:p>
    <w:p w14:paraId="611D0DA2">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（二）因国家法律法规、行业规范调整或双方慢病、专病管理合作需求发生重大变化，需变更本协议内容的，一方应提前15个工作日书面告知对方，双方协商一致后办理变更手续。</w:t>
      </w:r>
    </w:p>
    <w:p w14:paraId="16B8384D">
      <w:p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第九条  合作终止</w:t>
      </w:r>
    </w:p>
    <w:p w14:paraId="2AD54845">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（一）本协议期满，双方未达成续约协议的，自动终止。</w:t>
      </w:r>
    </w:p>
    <w:p w14:paraId="78F625DF">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（二）一方严重违反本协议约定，经守约方书面催告后，在15个工作日内仍未纠正的，守约方有权单方终止本协议，并要求违约方承担相应违约责任。</w:t>
      </w:r>
    </w:p>
    <w:p w14:paraId="29BD1B62">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（三）因不可抗力（如地震、火灾、战争、政策调整等）导致本协议无法继续履行的，双方可协商终止本协议，互不承担违约责任（因不可抗力导致的损失，由双方各自承担）。</w:t>
      </w:r>
    </w:p>
    <w:p w14:paraId="555737D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（四）双方协商一致，可随时书面终止本协议。</w:t>
      </w:r>
    </w:p>
    <w:p w14:paraId="54AB2654">
      <w:p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第十条  善后事宜</w:t>
      </w:r>
    </w:p>
    <w:p w14:paraId="0B0903E0">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highlight w:val="none"/>
          <w:lang w:val="en-US" w:eastAsia="zh-CN"/>
        </w:rPr>
        <w:t>本协议到期或终止后，</w:t>
      </w:r>
      <w:r>
        <w:rPr>
          <w:rFonts w:hint="eastAsia" w:ascii="仿宋_GB2312" w:hAnsi="仿宋_GB2312" w:eastAsia="仿宋_GB2312" w:cs="仿宋_GB2312"/>
          <w:color w:val="auto"/>
          <w:sz w:val="32"/>
          <w:szCs w:val="32"/>
          <w:lang w:val="en-US" w:eastAsia="zh-CN"/>
        </w:rPr>
        <w:t>系统归甲方所有，</w:t>
      </w:r>
      <w:r>
        <w:rPr>
          <w:rFonts w:hint="eastAsia" w:ascii="仿宋_GB2312" w:hAnsi="仿宋_GB2312" w:eastAsia="仿宋_GB2312" w:cs="仿宋_GB2312"/>
          <w:sz w:val="32"/>
          <w:szCs w:val="32"/>
          <w:lang w:val="en-US" w:eastAsia="zh-CN"/>
        </w:rPr>
        <w:t>乙方应停止系统相关服务，若甲方需要进行系统数据导出、备份等工作，乙方应予以配合，并无偿提供技术技持，确保甲方数据安全留存；</w:t>
      </w:r>
    </w:p>
    <w:p w14:paraId="62A2E0EB">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（二）本协议终止后，乙方应收回其提供的相关设备及技术资料（甲方留存的系统使用培训资料除外），甲方应予以配合；</w:t>
      </w:r>
    </w:p>
    <w:p w14:paraId="6A637336">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（三）本协议终止后，双方仍需履行本协议约定的数据安全与保密义务，直至相关义务履行完毕；</w:t>
      </w:r>
    </w:p>
    <w:p w14:paraId="39311DF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（四）协议终止后，双方无其他未了事宜的，互不承担额外责任；如有未了事宜，双方应协商妥善解决。</w:t>
      </w:r>
    </w:p>
    <w:p w14:paraId="096BD156">
      <w:p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第十一条  违约责任</w:t>
      </w:r>
    </w:p>
    <w:p w14:paraId="176D90AD">
      <w:pPr>
        <w:adjustRightInd w:val="0"/>
        <w:snapToGrid w:val="0"/>
        <w:spacing w:line="336"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（一）违约情形</w:t>
      </w:r>
    </w:p>
    <w:p w14:paraId="6FF7A098">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1.甲方未按本协议约定配合乙方完成系统部署、调试、优化及培训等工作，导致系统无法按时投入使用或正常运行，影响全流程管理工作的，视为甲方违约。</w:t>
      </w:r>
    </w:p>
    <w:p w14:paraId="52E2C988">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2.任何一方人员违规操作系统、篡改系统数据，或擅自将系统提供给第三方使用，导致系统故障、数据泄露等问题的，视为违约。</w:t>
      </w:r>
    </w:p>
    <w:p w14:paraId="773E31AD">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3.甲方擅自泄露乙方商业秘密、技术信息的，视为甲方违约。</w:t>
      </w:r>
    </w:p>
    <w:p w14:paraId="0A00675D">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4.乙方未按本协议约定完成系统研发、部署、调试工作，或系统功能不符合甲方需求，无法满足甲方正常工作的，视为乙方违约。</w:t>
      </w:r>
    </w:p>
    <w:p w14:paraId="080E7A50">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5.乙方未按本协议约定提供运维服务，系统故障处理不及时，尤其是影响慢病、专病全流程管理工作的，视为乙方违约。</w:t>
      </w:r>
    </w:p>
    <w:p w14:paraId="01950F7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6.乙方擅自泄露、篡改、出售甲方数据信息，或未履行数据安全保障义务，导致数据安全事件的，视为乙方违约。</w:t>
      </w:r>
    </w:p>
    <w:p w14:paraId="01AB365E">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7.乙方擅自泄露甲方商业秘密、医疗信息的，视为乙方违约。</w:t>
      </w:r>
    </w:p>
    <w:p w14:paraId="1A809565">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8.任何一方违反本协议其他约定，未履行自身权利义务的，视为违约。</w:t>
      </w:r>
    </w:p>
    <w:p w14:paraId="2B63F256">
      <w:pPr>
        <w:adjustRightInd w:val="0"/>
        <w:snapToGrid w:val="0"/>
        <w:spacing w:line="336"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（二）违约处理</w:t>
      </w:r>
    </w:p>
    <w:p w14:paraId="5ACA30F2">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1.一方违约后，守约方有权书面催告违约方在指定期限内纠正违约行为。</w:t>
      </w:r>
    </w:p>
    <w:p w14:paraId="3DF83818">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2.违约方未按催告要求纠正违约行为，或违约行为给守约方造成损失的，应承担全部赔偿责任（包括但不限于直接损失、间接损失、维权费用等）。</w:t>
      </w:r>
    </w:p>
    <w:p w14:paraId="2EC34757">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3.乙方因违约行为导致甲方数据泄露、名誉受损等严重后果的，甲方有权单方终止本协议，并要求乙方承担全部赔偿责任，同时追究乙方相关法律责任。</w:t>
      </w:r>
    </w:p>
    <w:p w14:paraId="5239B3D1">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4.因违约行为导致对方技术信息、商业秘密泄露，给对方造成损失的，应承担全部赔偿责任。</w:t>
      </w:r>
    </w:p>
    <w:p w14:paraId="0FA570C4">
      <w:p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第十二条  争议解决</w:t>
      </w:r>
    </w:p>
    <w:p w14:paraId="5A761F4B">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（一）本协议履行过程中发生的任何争议，双方应首先通过友好协商解决；协商不成的，任何一方均有权向甲方所在地人民法院提起诉讼。</w:t>
      </w:r>
    </w:p>
    <w:p w14:paraId="63602CC4">
      <w:pPr>
        <w:adjustRightInd w:val="0"/>
        <w:snapToGrid w:val="0"/>
        <w:spacing w:line="336" w:lineRule="auto"/>
        <w:ind w:firstLine="640" w:firstLineChars="200"/>
        <w:rPr>
          <w:rFonts w:hint="default"/>
          <w:lang w:val="en-US" w:eastAsia="zh-CN"/>
        </w:rPr>
      </w:pPr>
      <w:r>
        <w:rPr>
          <w:rFonts w:hint="eastAsia" w:ascii="仿宋_GB2312" w:hAnsi="仿宋_GB2312" w:eastAsia="仿宋_GB2312" w:cs="仿宋_GB2312"/>
          <w:sz w:val="32"/>
          <w:szCs w:val="32"/>
          <w:lang w:val="en-US" w:eastAsia="zh-CN"/>
        </w:rPr>
        <w:t>（二）争议解决期间，除涉及争议的条款外，本协议其他条款继续履行。</w:t>
      </w:r>
    </w:p>
    <w:p w14:paraId="7E0DCEC8">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   协议生效及有效期</w:t>
      </w:r>
    </w:p>
    <w:p w14:paraId="35EA3C68">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合作期限为</w:t>
      </w:r>
      <w:r>
        <w:rPr>
          <w:rFonts w:hint="eastAsia" w:ascii="仿宋_GB2312" w:hAnsi="仿宋_GB2312" w:eastAsia="仿宋_GB2312" w:cs="仿宋_GB2312"/>
          <w:sz w:val="32"/>
          <w:szCs w:val="32"/>
          <w:u w:val="single"/>
        </w:rPr>
        <w:t xml:space="preserve"> 5</w:t>
      </w:r>
      <w:r>
        <w:rPr>
          <w:rFonts w:hint="eastAsia" w:ascii="仿宋_GB2312" w:hAnsi="仿宋_GB2312" w:eastAsia="仿宋_GB2312" w:cs="仿宋_GB2312"/>
          <w:sz w:val="32"/>
          <w:szCs w:val="32"/>
        </w:rPr>
        <w:t>年，本协议经双方签字盖章之日起生效，协议期满自动终止合作。本协议一式</w:t>
      </w:r>
      <w:r>
        <w:rPr>
          <w:rFonts w:hint="eastAsia" w:ascii="仿宋_GB2312" w:hAnsi="仿宋_GB2312" w:eastAsia="仿宋_GB2312" w:cs="仿宋_GB2312"/>
          <w:sz w:val="32"/>
          <w:szCs w:val="32"/>
          <w:u w:val="single"/>
        </w:rPr>
        <w:t>肆</w:t>
      </w:r>
      <w:r>
        <w:rPr>
          <w:rFonts w:hint="eastAsia" w:ascii="仿宋_GB2312" w:hAnsi="仿宋_GB2312" w:eastAsia="仿宋_GB2312" w:cs="仿宋_GB2312"/>
          <w:sz w:val="32"/>
          <w:szCs w:val="32"/>
        </w:rPr>
        <w:t>份，双方各执</w:t>
      </w:r>
      <w:r>
        <w:rPr>
          <w:rFonts w:hint="eastAsia" w:ascii="仿宋_GB2312" w:hAnsi="仿宋_GB2312" w:eastAsia="仿宋_GB2312" w:cs="仿宋_GB2312"/>
          <w:sz w:val="32"/>
          <w:szCs w:val="32"/>
          <w:u w:val="single"/>
        </w:rPr>
        <w:t>贰</w:t>
      </w:r>
      <w:r>
        <w:rPr>
          <w:rFonts w:hint="eastAsia" w:ascii="仿宋_GB2312" w:hAnsi="仿宋_GB2312" w:eastAsia="仿宋_GB2312" w:cs="仿宋_GB2312"/>
          <w:sz w:val="32"/>
          <w:szCs w:val="32"/>
        </w:rPr>
        <w:t>份，每一份具有同等法律效力。</w:t>
      </w:r>
    </w:p>
    <w:p w14:paraId="0B6E4FF9">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第十一条   其他</w:t>
      </w:r>
    </w:p>
    <w:p w14:paraId="77298673">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（一）本协议为框架性协议，具体合作事宜应在此协议基础上进一步研究和协商，并另行签署具体的合作项目协议。</w:t>
      </w:r>
    </w:p>
    <w:p w14:paraId="368C446D">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（二）未尽事宜，按照《中华人民共和国民法典》等相关法律法规执行。</w:t>
      </w:r>
    </w:p>
    <w:p w14:paraId="4E4AEECC">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甲方 （盖章）：             乙方（盖章）：</w:t>
      </w:r>
    </w:p>
    <w:p w14:paraId="428DD922">
      <w:pPr>
        <w:adjustRightInd w:val="0"/>
        <w:snapToGrid w:val="0"/>
        <w:spacing w:line="336" w:lineRule="auto"/>
        <w:rPr>
          <w:rFonts w:ascii="仿宋_GB2312" w:hAnsi="仿宋_GB2312" w:eastAsia="仿宋_GB2312" w:cs="仿宋_GB2312"/>
          <w:sz w:val="32"/>
          <w:szCs w:val="32"/>
        </w:rPr>
      </w:pPr>
    </w:p>
    <w:p w14:paraId="2D8B1B7B">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授权代表（签字）：         授权代表（签字）：</w:t>
      </w:r>
    </w:p>
    <w:p w14:paraId="1E99BA4F">
      <w:pPr>
        <w:adjustRightInd w:val="0"/>
        <w:snapToGrid w:val="0"/>
        <w:spacing w:line="336" w:lineRule="auto"/>
        <w:rPr>
          <w:rFonts w:ascii="仿宋_GB2312" w:hAnsi="仿宋_GB2312" w:eastAsia="仿宋_GB2312" w:cs="仿宋_GB2312"/>
          <w:sz w:val="32"/>
          <w:szCs w:val="32"/>
        </w:rPr>
      </w:pPr>
    </w:p>
    <w:p w14:paraId="048F2275">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    签订日期：   年   月   日</w:t>
      </w:r>
    </w:p>
    <w:p w14:paraId="16CCDF76">
      <w:pPr>
        <w:widowControl/>
        <w:spacing w:before="100" w:beforeAutospacing="1" w:after="100" w:afterAutospacing="1" w:line="560" w:lineRule="exact"/>
        <w:rPr>
          <w:rFonts w:ascii="黑体" w:hAnsi="黑体" w:eastAsia="黑体" w:cs="黑体"/>
          <w:kern w:val="0"/>
          <w:sz w:val="32"/>
          <w:szCs w:val="32"/>
        </w:rPr>
        <w:sectPr>
          <w:footerReference r:id="rId3" w:type="default"/>
          <w:pgSz w:w="11906" w:h="16838"/>
          <w:pgMar w:top="2098" w:right="1361" w:bottom="1627" w:left="1531" w:header="851" w:footer="992" w:gutter="0"/>
          <w:cols w:space="0" w:num="1"/>
          <w:docGrid w:type="lines" w:linePitch="317" w:charSpace="0"/>
        </w:sectPr>
      </w:pPr>
    </w:p>
    <w:p w14:paraId="1BF883B2">
      <w:pPr>
        <w:pStyle w:val="7"/>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9578D4F">
      <w:pPr>
        <w:pStyle w:val="7"/>
        <w:ind w:firstLine="0" w:firstLineChars="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val="en-US" w:eastAsia="zh-CN" w:bidi="ar"/>
        </w:rPr>
        <w:t>全病程管理信息系统</w:t>
      </w:r>
      <w:r>
        <w:rPr>
          <w:rFonts w:hint="eastAsia" w:ascii="微软雅黑" w:hAnsi="微软雅黑" w:eastAsia="微软雅黑" w:cs="微软雅黑"/>
          <w:b/>
          <w:bCs/>
          <w:kern w:val="0"/>
          <w:sz w:val="28"/>
          <w:szCs w:val="28"/>
          <w:lang w:bidi="ar"/>
        </w:rPr>
        <w:t>合作项目</w:t>
      </w:r>
      <w:r>
        <w:rPr>
          <w:rFonts w:hint="eastAsia" w:ascii="微软雅黑" w:hAnsi="微软雅黑" w:eastAsia="微软雅黑" w:cs="微软雅黑"/>
          <w:b/>
          <w:bCs/>
          <w:kern w:val="0"/>
          <w:sz w:val="28"/>
          <w:szCs w:val="28"/>
          <w:lang w:val="en-US" w:eastAsia="zh-CN" w:bidi="ar"/>
        </w:rPr>
        <w:t>现场陈述</w:t>
      </w:r>
      <w:r>
        <w:rPr>
          <w:rFonts w:hint="eastAsia" w:ascii="微软雅黑" w:hAnsi="微软雅黑" w:eastAsia="微软雅黑" w:cs="微软雅黑"/>
          <w:b/>
          <w:bCs/>
          <w:kern w:val="0"/>
          <w:sz w:val="28"/>
          <w:szCs w:val="28"/>
          <w:lang w:bidi="ar"/>
        </w:rPr>
        <w:t>评分表</w:t>
      </w:r>
    </w:p>
    <w:tbl>
      <w:tblPr>
        <w:tblStyle w:val="19"/>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9"/>
        <w:gridCol w:w="1886"/>
        <w:gridCol w:w="870"/>
        <w:gridCol w:w="8527"/>
        <w:gridCol w:w="656"/>
        <w:gridCol w:w="836"/>
      </w:tblGrid>
      <w:tr w14:paraId="7B50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A7AB">
            <w:pPr>
              <w:keepNext w:val="0"/>
              <w:keepLines w:val="0"/>
              <w:widowControl/>
              <w:suppressLineNumbers w:val="0"/>
              <w:snapToGrid w:val="0"/>
              <w:ind w:left="0" w:leftChars="0" w:right="0" w:rightChars="0" w:firstLine="0" w:firstLineChars="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一级指标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25B2">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二级指标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22E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分值</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711A6AB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评分标准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EA2E">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得分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1D8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扣分原因</w:t>
            </w:r>
          </w:p>
        </w:tc>
      </w:tr>
      <w:tr w14:paraId="240B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1954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系统功能（37分）</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DEBE">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模块设计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220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05299A18">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能按照我院</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慢病管理中心七大职能（出院患者管理、筛查患者管理、辖区患者管理、慢病诊室管理、中医药特色服务、增值服务开发、智慧化服务支撑）设计系统模块，提供中医药特色功能模块（中医体质辨识管理、膏方/适宜技术预约与记录、养生功法视频库及推送），且可随时免费增设模块</w:t>
            </w:r>
            <w:r>
              <w:rPr>
                <w:rStyle w:val="22"/>
                <w:rFonts w:ascii="Segoe UI" w:hAnsi="Segoe UI" w:eastAsia="Segoe UI" w:cs="Segoe UI"/>
                <w:b/>
                <w:bCs/>
                <w:i w:val="0"/>
                <w:iCs w:val="0"/>
                <w:caps w:val="0"/>
                <w:color w:val="0F1115"/>
                <w:spacing w:val="0"/>
                <w:sz w:val="22"/>
                <w:szCs w:val="22"/>
                <w:shd w:val="clear" w:fill="FFFFFF"/>
              </w:rPr>
              <w:t>（</w:t>
            </w:r>
            <w:r>
              <w:rPr>
                <w:rFonts w:hint="eastAsia" w:ascii="等线" w:hAnsi="等线" w:eastAsia="等线" w:cs="等线"/>
                <w:i w:val="0"/>
                <w:iCs w:val="0"/>
                <w:color w:val="000000"/>
                <w:kern w:val="0"/>
                <w:sz w:val="22"/>
                <w:szCs w:val="22"/>
                <w:u w:val="none"/>
                <w:lang w:val="en-US" w:eastAsia="zh-CN" w:bidi="ar"/>
              </w:rPr>
              <w:t>4分）；系统模块固定，能适用于我院目前的慢病病种的管理系统，单独设计或增设模块要另收取费用（1分）；系统模块能适用于我院目前部分的慢病病种的管理系统，单独设计或增设模块要另收取费用（0分）。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DB0B">
            <w:pPr>
              <w:snapToGrid w:val="0"/>
              <w:ind w:left="0" w:leftChars="0" w:right="0" w:rightChars="0" w:firstLine="0" w:firstLineChars="0"/>
              <w:jc w:val="center"/>
              <w:rPr>
                <w:rFonts w:hint="eastAsia" w:ascii="等线" w:hAnsi="等线" w:eastAsia="等线" w:cs="等线"/>
                <w:b/>
                <w:bCs/>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D1C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19E9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4A9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26E9">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数据管理与统计分析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72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63DD6E07">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支持his、lis、pacs、体检数据等相关数据的全自动化抓取，</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内置绩效考核模型，可按岗位（科主任、全科医生、慢病管理师、推广专员）自动生成绩效考核报表，包括随访率、规范管理率、中医药服务量占比、服务包签约数、基层推送管理率等，支持多维度数据钻取与分析</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（4分）；</w:t>
            </w:r>
            <w:r>
              <w:rPr>
                <w:rFonts w:hint="eastAsia" w:ascii="等线" w:hAnsi="等线" w:eastAsia="等线" w:cs="等线"/>
                <w:i w:val="0"/>
                <w:iCs w:val="0"/>
                <w:color w:val="000000"/>
                <w:kern w:val="0"/>
                <w:sz w:val="22"/>
                <w:szCs w:val="22"/>
                <w:u w:val="none"/>
                <w:lang w:val="en-US" w:eastAsia="zh-CN" w:bidi="ar"/>
              </w:rPr>
              <w:t>支持部分数据的自动采集，</w:t>
            </w:r>
            <w:r>
              <w:rPr>
                <w:rFonts w:hint="eastAsia" w:ascii="等线" w:hAnsi="等线" w:eastAsia="等线" w:cs="等线"/>
                <w:b w:val="0"/>
                <w:bCs w:val="0"/>
                <w:i w:val="0"/>
                <w:iCs w:val="0"/>
                <w:color w:val="000000"/>
                <w:kern w:val="0"/>
                <w:sz w:val="22"/>
                <w:szCs w:val="22"/>
                <w:u w:val="none"/>
                <w:lang w:val="en-US" w:eastAsia="zh-CN" w:bidi="ar"/>
              </w:rPr>
              <w:t>只能生成基础统计报表</w:t>
            </w:r>
            <w:r>
              <w:rPr>
                <w:rFonts w:hint="eastAsia" w:ascii="等线" w:hAnsi="等线" w:eastAsia="等线" w:cs="等线"/>
                <w:i w:val="0"/>
                <w:iCs w:val="0"/>
                <w:color w:val="000000"/>
                <w:kern w:val="0"/>
                <w:sz w:val="22"/>
                <w:szCs w:val="22"/>
                <w:u w:val="none"/>
                <w:lang w:val="en-US" w:eastAsia="zh-CN" w:bidi="ar"/>
              </w:rPr>
              <w:t>（1分）；完全依赖人工录入，仅能导出原始数据（0分）。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9B48">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3F1E">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3067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70B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BD6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项目申报与管理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DA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119E332">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b w:val="0"/>
                <w:bCs w:val="0"/>
                <w:i w:val="0"/>
                <w:iCs w:val="0"/>
                <w:color w:val="000000" w:themeColor="text1"/>
                <w:sz w:val="22"/>
                <w:szCs w:val="22"/>
                <w:highlight w:val="none"/>
                <w:u w:val="none"/>
                <w14:textFill>
                  <w14:solidFill>
                    <w14:schemeClr w14:val="tx1"/>
                  </w14:solidFill>
                </w14:textFill>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临床科室可通过系统申报专病管理，流程满足申报—预审—复审</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-立项</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等阶段，自动生成电子项目档案。</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多学科干预计划整合</w:t>
            </w:r>
            <w:r>
              <w:rPr>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，可根据患者病情整合不同科室的干预方案，形成长期、动态、一体化干预方案，并与科研数据采集系统打通</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（4分）；临床科室不能申报，仅由管理科室开通专病管理（1分）；无此项功能（0分）。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6F91">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4BD2">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1E1D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795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8C6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患者管理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E98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DA23326">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b w:val="0"/>
                <w:bCs w:val="0"/>
                <w:i w:val="0"/>
                <w:iCs w:val="0"/>
                <w:color w:val="000000" w:themeColor="text1"/>
                <w:sz w:val="22"/>
                <w:szCs w:val="22"/>
                <w:highlight w:val="none"/>
                <w:u w:val="none"/>
                <w14:textFill>
                  <w14:solidFill>
                    <w14:schemeClr w14:val="tx1"/>
                  </w14:solidFill>
                </w14:textFill>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支持按病种分类管理、高危患者标识和推送，关联患者健康档案。</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支持“红、黄、绿”三色分级管理，</w:t>
            </w:r>
            <w:r>
              <w:rPr>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可根据风险评估结果自动生成个性化随访任务并推送至责任慢病管理师</w:t>
            </w:r>
            <w:r>
              <w:rPr>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。整合多学科干预计划形成长期干预方案，根据方案自动生成待执行干预任务</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（4分）；仅可分类管理患者，高危患者标识和推送，不能自动生成干预任务（1分）；仅能存储患者基础信息（0分）。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054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6360">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78D9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D1FFA">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93F4">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随访管理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2A7D">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47F95BBF">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b w:val="0"/>
                <w:bCs w:val="0"/>
                <w:i w:val="0"/>
                <w:iCs w:val="0"/>
                <w:color w:val="000000" w:themeColor="text1"/>
                <w:sz w:val="22"/>
                <w:szCs w:val="22"/>
                <w:highlight w:val="none"/>
                <w:u w:val="none"/>
                <w14:textFill>
                  <w14:solidFill>
                    <w14:schemeClr w14:val="tx1"/>
                  </w14:solidFill>
                </w14:textFill>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可根据疾病分类、患者个性化设置等多维度的随访管理，AI智能电话随访，构建动态的患者画像自动生成个性化、合规的智能随访路径，“千人千面”的精准随访。</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w:t>
            </w:r>
            <w:r>
              <w:rPr>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“双人复核制”数据审核流程</w:t>
            </w:r>
            <w:r>
              <w:rPr>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复诊任务分配到部门或个人，实时提醒执行，可自定义修改（4分）；有基础或固定的随访模板，不可修改设计类目或不能实现患者个性化随访管理及推送内容的设置，需手动设置提醒（1分）；仅能采用人工记录的方式开展随访管理（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6FB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6498">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6868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80BAA">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2ED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健康教育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8D0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7AE54C40">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b w:val="0"/>
                <w:bCs w:val="0"/>
                <w:i w:val="0"/>
                <w:iCs w:val="0"/>
                <w:color w:val="000000" w:themeColor="text1"/>
                <w:sz w:val="22"/>
                <w:szCs w:val="22"/>
                <w:highlight w:val="none"/>
                <w:u w:val="none"/>
                <w14:textFill>
                  <w14:solidFill>
                    <w14:schemeClr w14:val="tx1"/>
                  </w14:solidFill>
                </w14:textFill>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有健康教育知识库，且负责定期更新，支持科室自行创建健康知识材料发布至共享平台，可进行权限控制。</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支持将健康教育内容与“慢病管理服务包”或“中医药特色服务包”关联推送，记录患者观看时长、统计观看次数、配置答题测试功能，患者互动行为可作为服务包推广线索</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（4分）；有健康教育知识库，且负责定期更新，但无自行创建功能，且不能进行统计分析（1分）；无健康教育知识库，需自行创建（0分）。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5792">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169">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r>
      <w:tr w14:paraId="50EC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93F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4A7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院外监测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FACA">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7AA0560">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系统能与多品牌的可佩戴监测设备相匹配连接，自动采集+手动补充上传健康数据。</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支持设置</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个性化异常值预警规则 ，出现异常时能及时预警并自动生成待处理任务推送给责任人员，双向通知患者、家属及医护人员，具备在线咨询等医患互动功能</w:t>
            </w:r>
            <w:r>
              <w:rPr>
                <w:rStyle w:val="22"/>
                <w:rFonts w:hint="eastAsia" w:ascii="Segoe UI" w:hAnsi="Segoe UI" w:eastAsia="Segoe UI" w:cs="Segoe UI"/>
                <w:b w:val="0"/>
                <w:bCs w:val="0"/>
                <w:i w:val="0"/>
                <w:iCs w:val="0"/>
                <w:caps w:val="0"/>
                <w:color w:val="000000" w:themeColor="text1"/>
                <w:spacing w:val="0"/>
                <w:sz w:val="22"/>
                <w:szCs w:val="22"/>
                <w:highlight w:val="none"/>
                <w:shd w:val="clear" w:fill="FFFFFF"/>
                <w:lang w:val="en-US" w:eastAsia="zh-CN"/>
                <w14:textFill>
                  <w14:solidFill>
                    <w14:schemeClr w14:val="tx1"/>
                  </w14:solidFill>
                </w14:textFill>
              </w:rPr>
              <w:t>（</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4分）；系统只能与该公司自产品牌的可佩戴监测设备相匹配连接，自动采集+手动补充上传健康数据，统计分析、双向通知及医患互动功能单一（1分）。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394B">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E13B">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r>
      <w:tr w14:paraId="2791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14FE">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49E">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对接互联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BD3A">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7C0B430">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auto"/>
                <w:kern w:val="0"/>
                <w:sz w:val="22"/>
                <w:szCs w:val="22"/>
                <w:u w:val="none"/>
                <w:lang w:val="en-US" w:eastAsia="zh-CN" w:bidi="ar"/>
              </w:rPr>
              <w:t>能完全与院内运用的所有软件系统、仪器设备进行</w:t>
            </w:r>
            <w:r>
              <w:rPr>
                <w:rFonts w:hint="eastAsia" w:ascii="等线" w:hAnsi="等线" w:eastAsia="等线" w:cs="等线"/>
                <w:b w:val="0"/>
                <w:bCs w:val="0"/>
                <w:i w:val="0"/>
                <w:iCs w:val="0"/>
                <w:strike w:val="0"/>
                <w:dstrike w:val="0"/>
                <w:color w:val="auto"/>
                <w:kern w:val="0"/>
                <w:sz w:val="22"/>
                <w:szCs w:val="22"/>
                <w:u w:val="none"/>
                <w:lang w:val="en-US" w:eastAsia="zh-CN" w:bidi="ar"/>
              </w:rPr>
              <w:t>免费</w:t>
            </w:r>
            <w:r>
              <w:rPr>
                <w:rFonts w:hint="eastAsia" w:ascii="等线" w:hAnsi="等线" w:eastAsia="等线" w:cs="等线"/>
                <w:i w:val="0"/>
                <w:iCs w:val="0"/>
                <w:color w:val="auto"/>
                <w:kern w:val="0"/>
                <w:sz w:val="22"/>
                <w:szCs w:val="22"/>
                <w:u w:val="none"/>
                <w:lang w:val="en-US" w:eastAsia="zh-CN" w:bidi="ar"/>
              </w:rPr>
              <w:t>对接互联</w:t>
            </w:r>
            <w:r>
              <w:rPr>
                <w:rFonts w:hint="eastAsia" w:ascii="等线" w:hAnsi="等线" w:eastAsia="等线" w:cs="等线"/>
                <w:i w:val="0"/>
                <w:iCs w:val="0"/>
                <w:strike w:val="0"/>
                <w:dstrike w:val="0"/>
                <w:color w:val="auto"/>
                <w:kern w:val="0"/>
                <w:sz w:val="22"/>
                <w:szCs w:val="22"/>
                <w:u w:val="none"/>
                <w:lang w:val="en-US" w:eastAsia="zh-CN" w:bidi="ar"/>
              </w:rPr>
              <w:t>（包括承担对接方的接口开发费），</w:t>
            </w:r>
            <w:r>
              <w:rPr>
                <w:rFonts w:hint="eastAsia" w:ascii="等线" w:hAnsi="等线" w:eastAsia="等线" w:cs="等线"/>
                <w:i w:val="0"/>
                <w:iCs w:val="0"/>
                <w:color w:val="auto"/>
                <w:kern w:val="0"/>
                <w:sz w:val="22"/>
                <w:szCs w:val="22"/>
                <w:u w:val="none"/>
                <w:lang w:val="en-US" w:eastAsia="zh-CN" w:bidi="ar"/>
              </w:rPr>
              <w:t>能</w:t>
            </w:r>
            <w:r>
              <w:rPr>
                <w:rFonts w:hint="eastAsia" w:ascii="等线" w:hAnsi="等线" w:eastAsia="等线" w:cs="等线"/>
                <w:i w:val="0"/>
                <w:iCs w:val="0"/>
                <w:color w:val="000000"/>
                <w:kern w:val="0"/>
                <w:sz w:val="22"/>
                <w:szCs w:val="22"/>
                <w:u w:val="none"/>
                <w:lang w:val="en-US" w:eastAsia="zh-CN" w:bidi="ar"/>
              </w:rPr>
              <w:t>建设区域性慢病管理平台，可完成院内慢病管理与全市慢病管理平台的双向数据打通，</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支持与市卫健统建系统、基层医疗机构信息系统 双向数据交换和业务协同 ，可自动生成符合基层管理需要的“中医药特色慢病健康管理工具包”数据</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w:t>
            </w:r>
            <w:r>
              <w:rPr>
                <w:rFonts w:hint="eastAsia" w:ascii="等线" w:hAnsi="等线" w:eastAsia="等线" w:cs="等线"/>
                <w:i w:val="0"/>
                <w:iCs w:val="0"/>
                <w:color w:val="000000"/>
                <w:kern w:val="0"/>
                <w:sz w:val="22"/>
                <w:szCs w:val="22"/>
                <w:u w:val="none"/>
                <w:lang w:val="en-US" w:eastAsia="zh-CN" w:bidi="ar"/>
              </w:rPr>
              <w:t>分）；仅能对部分软件系统、仪器设备进行对接互联，不能建设区域性慢病管理平台，能与全市慢病管理平台双向数据打通，负责一部分系统的接口费（1分）；不能与我院目前的软件系统或仪器设备、全市慢病管理平台进行互联，不能负责系统的接口费（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DC1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ECFF">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8F1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AF7BA">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CBC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远程功能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E519">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6C9EF36">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支持与川南区域内或跨省业务对接远程合作，</w:t>
            </w:r>
            <w:r>
              <w:rPr>
                <w:rStyle w:val="22"/>
                <w:rFonts w:hint="default" w:ascii="Segoe UI" w:hAnsi="Segoe UI" w:eastAsia="Segoe UI" w:cs="Segoe UI"/>
                <w:b w:val="0"/>
                <w:bCs w:val="0"/>
                <w:i w:val="0"/>
                <w:iCs w:val="0"/>
                <w:caps w:val="0"/>
                <w:color w:val="auto"/>
                <w:spacing w:val="0"/>
                <w:sz w:val="22"/>
                <w:szCs w:val="22"/>
                <w:highlight w:val="none"/>
                <w:shd w:val="clear" w:fill="FFFFFF"/>
              </w:rPr>
              <w:t>内置远程协作模块，支持音视频沟通及医疗数据实时共享调阅。支持与上级医院专家远程会诊，可将患者完整中西医诊疗档案、随访数据、监测数据一键共享，支持与下级医院或养老机构开展远程培训、联合查房</w:t>
            </w:r>
            <w:r>
              <w:rPr>
                <w:rFonts w:hint="eastAsia" w:ascii="等线" w:hAnsi="等线" w:eastAsia="等线" w:cs="等线"/>
                <w:i w:val="0"/>
                <w:iCs w:val="0"/>
                <w:color w:val="000000"/>
                <w:kern w:val="0"/>
                <w:sz w:val="22"/>
                <w:szCs w:val="22"/>
                <w:u w:val="none"/>
                <w:lang w:val="en-US" w:eastAsia="zh-CN" w:bidi="ar"/>
              </w:rPr>
              <w:t>（3分）；与本地市级、区域县级、其他业务往来的的单位部门、养老院等机构的对接远程合作享（2分）；能满足我院所属辖区和社区服务中心的远程管理、上门服务、社区家庭医生服务（1分）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7F4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5EB0">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E1E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892F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D00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运行长效性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C745">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2</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67D6276">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能够根据医疗政策的更新和市场需求的发展，</w:t>
            </w:r>
            <w:r>
              <w:rPr>
                <w:rStyle w:val="22"/>
                <w:rFonts w:hint="default" w:ascii="Segoe UI" w:hAnsi="Segoe UI" w:eastAsia="Segoe UI" w:cs="Segoe UI"/>
                <w:b w:val="0"/>
                <w:bCs w:val="0"/>
                <w:i w:val="0"/>
                <w:iCs w:val="0"/>
                <w:caps w:val="0"/>
                <w:color w:val="auto"/>
                <w:spacing w:val="0"/>
                <w:sz w:val="22"/>
                <w:szCs w:val="22"/>
                <w:highlight w:val="none"/>
                <w:shd w:val="clear" w:fill="FFFFFF"/>
              </w:rPr>
              <w:t>建立快速响应机制，在1个月内完成新增需求模块的评估、设计、开发和部署，不收取费用</w:t>
            </w:r>
            <w:r>
              <w:rPr>
                <w:rStyle w:val="22"/>
                <w:rFonts w:hint="eastAsia" w:ascii="Segoe UI" w:hAnsi="Segoe UI" w:eastAsia="Segoe UI" w:cs="Segoe UI"/>
                <w:b w:val="0"/>
                <w:bCs w:val="0"/>
                <w:i w:val="0"/>
                <w:iCs w:val="0"/>
                <w:caps w:val="0"/>
                <w:color w:val="auto"/>
                <w:spacing w:val="0"/>
                <w:sz w:val="22"/>
                <w:szCs w:val="22"/>
                <w:highlight w:val="none"/>
                <w:shd w:val="clear" w:fill="FFFFFF"/>
                <w:lang w:val="en-US" w:eastAsia="zh-CN"/>
              </w:rPr>
              <w:t>（</w:t>
            </w:r>
            <w:r>
              <w:rPr>
                <w:rFonts w:hint="eastAsia" w:ascii="等线" w:hAnsi="等线" w:eastAsia="等线" w:cs="等线"/>
                <w:b w:val="0"/>
                <w:bCs w:val="0"/>
                <w:i w:val="0"/>
                <w:iCs w:val="0"/>
                <w:color w:val="auto"/>
                <w:kern w:val="0"/>
                <w:sz w:val="22"/>
                <w:szCs w:val="22"/>
                <w:highlight w:val="none"/>
                <w:u w:val="none"/>
                <w:lang w:val="en-US" w:eastAsia="zh-CN" w:bidi="ar"/>
              </w:rPr>
              <w:t>2分）</w:t>
            </w:r>
            <w:r>
              <w:rPr>
                <w:rFonts w:hint="eastAsia" w:ascii="等线" w:hAnsi="等线" w:eastAsia="等线" w:cs="等线"/>
                <w:i w:val="0"/>
                <w:iCs w:val="0"/>
                <w:color w:val="000000"/>
                <w:kern w:val="0"/>
                <w:sz w:val="22"/>
                <w:szCs w:val="22"/>
                <w:u w:val="none"/>
                <w:lang w:val="en-US" w:eastAsia="zh-CN" w:bidi="ar"/>
              </w:rPr>
              <w:t>；能够进行模块软件升级，不收取费用（1分）；不能进行模块软件升级，或者需要重新收取费用（0分）。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ABF0">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6744">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F63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9A32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技术性能（12分）</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35D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稳定性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854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28507E4">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承诺全年故障率≤0.5%，提供7×24小时技术支持（3分）；全年故障率≤1%，提供5×8小时技术支持（1分）； 全年故障率＞1%，技术支持响应超24小时（0分）。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4388">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73D3">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56A3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585F">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9A2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安全性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9F75">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76DD5FF8">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符合等保三级标准，有数据加密、备份及防泄露机制（5分）；符合等保二级标准，仅有基础数据备份（2分）；无等保认证，数据安全措施不完善（0分）。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7784">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F1BC">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FB9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3C3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073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便捷性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F3F5">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69CF7ADE">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b w:val="0"/>
                <w:bCs w:val="0"/>
                <w:i w:val="0"/>
                <w:iCs w:val="0"/>
                <w:color w:val="auto"/>
                <w:kern w:val="0"/>
                <w:sz w:val="22"/>
                <w:szCs w:val="22"/>
                <w:highlight w:val="none"/>
                <w:u w:val="none"/>
                <w:lang w:val="en-US" w:eastAsia="zh-CN" w:bidi="ar"/>
              </w:rPr>
              <w:t>操作界面、目录、流程等清晰简洁，</w:t>
            </w:r>
            <w:r>
              <w:rPr>
                <w:rStyle w:val="22"/>
                <w:rFonts w:hint="default" w:ascii="Segoe UI" w:hAnsi="Segoe UI" w:eastAsia="Segoe UI" w:cs="Segoe UI"/>
                <w:b w:val="0"/>
                <w:bCs w:val="0"/>
                <w:i w:val="0"/>
                <w:iCs w:val="0"/>
                <w:caps w:val="0"/>
                <w:color w:val="auto"/>
                <w:spacing w:val="0"/>
                <w:sz w:val="22"/>
                <w:szCs w:val="22"/>
                <w:highlight w:val="none"/>
                <w:shd w:val="clear" w:fill="FFFFFF"/>
              </w:rPr>
              <w:t>支持分岗位定制化培训内容，医护人员培训后能在1周内快速掌握操作</w:t>
            </w:r>
            <w:r>
              <w:rPr>
                <w:rFonts w:hint="eastAsia" w:ascii="等线" w:hAnsi="等线" w:eastAsia="等线" w:cs="等线"/>
                <w:b w:val="0"/>
                <w:bCs w:val="0"/>
                <w:i w:val="0"/>
                <w:iCs w:val="0"/>
                <w:color w:val="auto"/>
                <w:kern w:val="0"/>
                <w:sz w:val="22"/>
                <w:szCs w:val="22"/>
                <w:highlight w:val="none"/>
                <w:u w:val="none"/>
                <w:lang w:val="en-US" w:eastAsia="zh-CN" w:bidi="ar"/>
              </w:rPr>
              <w:t>（2分）；界面较复杂，培训后需在2周内掌握操作（1分）；界</w:t>
            </w:r>
            <w:r>
              <w:rPr>
                <w:rFonts w:hint="eastAsia" w:ascii="等线" w:hAnsi="等线" w:eastAsia="等线" w:cs="等线"/>
                <w:i w:val="0"/>
                <w:iCs w:val="0"/>
                <w:color w:val="000000"/>
                <w:kern w:val="0"/>
                <w:sz w:val="22"/>
                <w:szCs w:val="22"/>
                <w:u w:val="none"/>
                <w:lang w:val="en-US" w:eastAsia="zh-CN" w:bidi="ar"/>
              </w:rPr>
              <w:t xml:space="preserve">面繁琐，培训后仍需专人指导（0分）。                                                </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3993">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C9E3">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758A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A464B">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BDDD">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实用性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68F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0EF669E0">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患者端、医生端、管理端针对不同的端口有使用的针对性和能效性，可根据三医联动的要求进行持续</w:t>
            </w:r>
            <w:r>
              <w:rPr>
                <w:rFonts w:hint="eastAsia" w:ascii="等线" w:hAnsi="等线" w:eastAsia="等线" w:cs="等线"/>
                <w:i w:val="0"/>
                <w:iCs w:val="0"/>
                <w:color w:val="auto"/>
                <w:kern w:val="0"/>
                <w:sz w:val="22"/>
                <w:szCs w:val="22"/>
                <w:u w:val="none"/>
                <w:lang w:val="en-US" w:eastAsia="zh-CN" w:bidi="ar"/>
              </w:rPr>
              <w:t>以及免费升级</w:t>
            </w:r>
            <w:r>
              <w:rPr>
                <w:rFonts w:hint="eastAsia" w:ascii="等线" w:hAnsi="等线" w:eastAsia="等线" w:cs="等线"/>
                <w:i w:val="0"/>
                <w:iCs w:val="0"/>
                <w:color w:val="000000"/>
                <w:kern w:val="0"/>
                <w:sz w:val="22"/>
                <w:szCs w:val="22"/>
                <w:u w:val="none"/>
                <w:lang w:val="en-US" w:eastAsia="zh-CN" w:bidi="ar"/>
              </w:rPr>
              <w:t>（2分）；三级端口固定内容，不能持续升级或需要收取费用（1分）；三级端口目前不能同时实现，后续可实现三级同管（0分）。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2F9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8DC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6FA2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69EF3">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服务保障（9分）</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045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实施周期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9237">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672FD91F">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院内系统能承诺在1个月内完成部署上线，区域内互联启动后能在15天内完成对接（3分）；院内系统承诺2-3个月内完成部署上线，区域内互联启动后能在1月内完成对接（1分）；3.院内系统部署周期超3个月，区域内互联时间超过1个月（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6194">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263F">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4BF3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597E3">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51B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培训服务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0C8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6BABE3E">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软件公司技术人员提供上门定制化培训</w:t>
            </w:r>
            <w:r>
              <w:rPr>
                <w:rFonts w:hint="default" w:ascii="等线" w:hAnsi="等线" w:eastAsia="等线" w:cs="等线"/>
                <w:i w:val="0"/>
                <w:iCs w:val="0"/>
                <w:color w:val="000000"/>
                <w:kern w:val="0"/>
                <w:sz w:val="22"/>
                <w:szCs w:val="22"/>
                <w:u w:val="none"/>
                <w:lang w:val="en-US" w:eastAsia="zh-CN" w:bidi="ar"/>
              </w:rPr>
              <w:t>（全科医生、慢病管理师、推广专员分别培训）</w:t>
            </w:r>
            <w:r>
              <w:rPr>
                <w:rFonts w:hint="eastAsia" w:ascii="等线" w:hAnsi="等线" w:eastAsia="等线" w:cs="等线"/>
                <w:i w:val="0"/>
                <w:iCs w:val="0"/>
                <w:color w:val="000000"/>
                <w:kern w:val="0"/>
                <w:sz w:val="22"/>
                <w:szCs w:val="22"/>
                <w:u w:val="none"/>
                <w:lang w:val="en-US" w:eastAsia="zh-CN" w:bidi="ar"/>
              </w:rPr>
              <w:t>，直至使用者能完全掌握使用（2分）；提供线上门培训但现场培训次数有限，培训次数完成后，只采取线上培训（1分）；仅提供线上培训和口头指导（0分）。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5E6A">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5656">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3649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ECB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86E4">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合作支持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3CDE">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3C37BB81">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auto"/>
                <w:kern w:val="0"/>
                <w:sz w:val="22"/>
                <w:szCs w:val="22"/>
                <w:u w:val="none"/>
                <w:lang w:val="en-US" w:eastAsia="zh-CN" w:bidi="ar"/>
              </w:rPr>
              <w:t>合作期内有专业团队驻地医院提供免费技术支持，系统巡检，使用反馈优化。能与医院计算机中心人员联合解决上线系统和现有系统的问题。</w:t>
            </w:r>
            <w:r>
              <w:rPr>
                <w:rFonts w:hint="default" w:ascii="等线" w:hAnsi="等线" w:eastAsia="等线" w:cs="等线"/>
                <w:i w:val="0"/>
                <w:iCs w:val="0"/>
                <w:color w:val="auto"/>
                <w:kern w:val="0"/>
                <w:sz w:val="22"/>
                <w:szCs w:val="22"/>
                <w:u w:val="none"/>
                <w:lang w:val="en-US" w:eastAsia="zh-CN" w:bidi="ar"/>
              </w:rPr>
              <w:t>安排专职运营人员负责系统推广工作，配合慢病管理中心开展服务包市场拓展</w:t>
            </w:r>
            <w:r>
              <w:rPr>
                <w:rFonts w:hint="eastAsia" w:ascii="等线" w:hAnsi="等线" w:eastAsia="等线" w:cs="等线"/>
                <w:i w:val="0"/>
                <w:iCs w:val="0"/>
                <w:color w:val="auto"/>
                <w:kern w:val="0"/>
                <w:sz w:val="22"/>
                <w:szCs w:val="22"/>
                <w:u w:val="none"/>
                <w:lang w:val="en-US" w:eastAsia="zh-CN" w:bidi="ar"/>
              </w:rPr>
              <w:t>（4分）；单人驻地医院提供技术支持和线上的技术支持和维护，只解决公司系统的问题，不解决关联系统的问题（1分）；只支持线上技术支持和维护（0分）。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E4C3">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CE7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772A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restart"/>
            <w:tcBorders>
              <w:top w:val="single" w:color="000000" w:sz="4" w:space="0"/>
              <w:left w:val="single" w:color="000000" w:sz="4" w:space="0"/>
              <w:right w:val="single" w:color="000000" w:sz="4" w:space="0"/>
            </w:tcBorders>
            <w:shd w:val="clear" w:color="auto" w:fill="auto"/>
            <w:vAlign w:val="center"/>
          </w:tcPr>
          <w:p w14:paraId="4719506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公司合作实力（分14）</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5BCC">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公司实力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84D6">
            <w:pPr>
              <w:keepNext w:val="0"/>
              <w:keepLines w:val="0"/>
              <w:widowControl/>
              <w:suppressLineNumbers w:val="0"/>
              <w:snapToGrid w:val="0"/>
              <w:ind w:left="0" w:leftChars="0" w:right="0" w:rightChars="0" w:firstLine="0" w:firstLineChars="0"/>
              <w:jc w:val="left"/>
              <w:textAlignment w:val="bottom"/>
              <w:rPr>
                <w:rFonts w:hint="default"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5</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2F0F951">
            <w:pPr>
              <w:keepNext w:val="0"/>
              <w:keepLines w:val="0"/>
              <w:widowControl/>
              <w:suppressLineNumbers w:val="0"/>
              <w:snapToGrid w:val="0"/>
              <w:ind w:left="0" w:leftChars="0" w:right="0" w:rightChars="0" w:firstLine="0" w:firstLineChars="0"/>
              <w:jc w:val="left"/>
              <w:textAlignment w:val="bottom"/>
              <w:rPr>
                <w:rFonts w:hint="default"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公司应当保证全部为本项目提供的产品、软件系统等均具有自主知识产权，拥有软件著作权，具有专病专科相关软件著作权登记证书证明文件，文件中包含“专病专科患者端”、“专病专科管理平台”相关关键字；文件中包含“全病程主动管理”、“机器人业务流程自动化”、“慢性疾病多病种智能监测”、“多源异构数据采集机器人”、“慢性疾病智能评估”、“病种数据驾驶舱系统”、“随访及专病宣教”相关关键字，每提供一种计0.5分，最多不超过5分。不提供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72D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22A1">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1F0F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left w:val="single" w:color="000000" w:sz="4" w:space="0"/>
              <w:right w:val="single" w:color="000000" w:sz="4" w:space="0"/>
            </w:tcBorders>
            <w:shd w:val="clear" w:color="auto" w:fill="auto"/>
            <w:vAlign w:val="center"/>
          </w:tcPr>
          <w:p w14:paraId="65860AC3">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762">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合作经验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FC6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3DA40ED9">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auto"/>
                <w:kern w:val="0"/>
                <w:sz w:val="22"/>
                <w:szCs w:val="22"/>
                <w:u w:val="none"/>
                <w:lang w:val="en-US" w:eastAsia="zh-CN" w:bidi="ar"/>
              </w:rPr>
              <w:t>有3-5年以上省级三甲医院（≥3个）医院系统和慢病系统合作案例（3分）；有3-5年以上地市级三甲医院（≥3个）医院系统和慢病系统合作案例（2分）；.有3-5年区县级医院（≥3个）医院系统和慢病系统合作案例（1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F176">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F31B">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CDC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left w:val="single" w:color="000000" w:sz="4" w:space="0"/>
              <w:right w:val="single" w:color="000000" w:sz="4" w:space="0"/>
            </w:tcBorders>
            <w:shd w:val="clear" w:color="auto" w:fill="auto"/>
            <w:vAlign w:val="center"/>
          </w:tcPr>
          <w:p w14:paraId="7A10405C">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B8C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团队专业能力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4A6E">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68A69D9A">
            <w:pPr>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等线" w:hAnsi="等线" w:eastAsia="等线" w:cs="等线"/>
                <w:i w:val="0"/>
                <w:iCs w:val="0"/>
                <w:color w:val="000000"/>
                <w:sz w:val="22"/>
                <w:szCs w:val="22"/>
                <w:u w:val="none"/>
              </w:rPr>
            </w:pPr>
            <w:r>
              <w:rPr>
                <w:rFonts w:hint="eastAsia" w:ascii="等线" w:hAnsi="等线" w:eastAsia="等线" w:cs="等线"/>
                <w:i w:val="0"/>
                <w:iCs w:val="0"/>
                <w:color w:val="auto"/>
                <w:kern w:val="0"/>
                <w:sz w:val="22"/>
                <w:szCs w:val="22"/>
                <w:u w:val="none"/>
                <w:lang w:val="en-US" w:eastAsia="zh-CN" w:bidi="ar"/>
              </w:rPr>
              <w:t>公司配备有软件工程、医疗专家、网络管理、市场营销、教研人员等多维度的专业专属项目团队，并承诺团队成员整体介入建设项目（3分）；有专业专属的研发团队，但不能整体介入该项目（1分）；有专业团队但无专属团队跟随项目，按通用流程对接（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049A">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B95C">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4CD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left w:val="single" w:color="000000" w:sz="4" w:space="0"/>
              <w:bottom w:val="single" w:color="000000" w:sz="4" w:space="0"/>
              <w:right w:val="single" w:color="000000" w:sz="4" w:space="0"/>
            </w:tcBorders>
            <w:shd w:val="clear" w:color="auto" w:fill="auto"/>
            <w:vAlign w:val="center"/>
          </w:tcPr>
          <w:p w14:paraId="7789A652">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nil"/>
              <w:right w:val="single" w:color="000000" w:sz="4" w:space="0"/>
            </w:tcBorders>
            <w:shd w:val="clear" w:color="auto" w:fill="auto"/>
            <w:vAlign w:val="center"/>
          </w:tcPr>
          <w:p w14:paraId="6134BF69">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医疗资源</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7FD959F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531C794">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能通过系统联动助力科研教学的开展，推动我院与其他上级医院的科研项目联动（3分）；能通过系统联动助力科研教学的开展（1分）；不能助力联动（0分）。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6CE8">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AEEC">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3079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D56CF">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合作模式与利益分配（分28）</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736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合作框架完整性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C8AF">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51BC70CB">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能完全响应《全病程管理信息系统合作框架协议书》中合作条款，无模糊表述；所有模块的设计、开发和升级等服务有明确说明，</w:t>
            </w:r>
            <w:r>
              <w:rPr>
                <w:rFonts w:hint="default" w:ascii="等线" w:hAnsi="等线" w:eastAsia="等线" w:cs="等线"/>
                <w:i w:val="0"/>
                <w:iCs w:val="0"/>
                <w:color w:val="auto"/>
                <w:kern w:val="0"/>
                <w:sz w:val="22"/>
                <w:szCs w:val="22"/>
                <w:u w:val="none"/>
                <w:lang w:val="en-US" w:eastAsia="zh-CN" w:bidi="ar"/>
              </w:rPr>
              <w:t>明确系统需支撑慢病管理中心七大职能和绩效考核需求</w:t>
            </w:r>
            <w:r>
              <w:rPr>
                <w:rFonts w:hint="eastAsia" w:ascii="等线" w:hAnsi="等线" w:eastAsia="等线" w:cs="等线"/>
                <w:i w:val="0"/>
                <w:iCs w:val="0"/>
                <w:color w:val="auto"/>
                <w:kern w:val="0"/>
                <w:sz w:val="22"/>
                <w:szCs w:val="22"/>
                <w:u w:val="none"/>
                <w:lang w:val="en-US" w:eastAsia="zh-CN" w:bidi="ar"/>
              </w:rPr>
              <w:t>（5分）。响应《全病程管理信息系统合作框架协议书》部分合作条款（2分）；仅口头约定合作，完全不响应《全病程管理信息系统合作框架协议书》合作条款（0分）。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B0E1">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67CF">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7839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F2121">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8CBA">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strike w:val="0"/>
                <w:dstrike w:val="0"/>
                <w:color w:val="auto"/>
                <w:kern w:val="0"/>
                <w:sz w:val="22"/>
                <w:szCs w:val="22"/>
                <w:u w:val="none"/>
                <w:lang w:val="en-US" w:eastAsia="zh-CN" w:bidi="ar"/>
              </w:rPr>
              <w:t>软件使用服务费收取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526E">
            <w:pPr>
              <w:keepNext w:val="0"/>
              <w:keepLines w:val="0"/>
              <w:widowControl/>
              <w:suppressLineNumbers w:val="0"/>
              <w:snapToGrid w:val="0"/>
              <w:ind w:left="0" w:leftChars="0" w:right="0" w:rightChars="0" w:firstLine="0" w:firstLineChars="0"/>
              <w:jc w:val="center"/>
              <w:textAlignment w:val="center"/>
              <w:rPr>
                <w:rFonts w:hint="default" w:ascii="等线" w:hAnsi="等线" w:eastAsia="等线" w:cs="等线"/>
                <w:i w:val="0"/>
                <w:iCs w:val="0"/>
                <w:color w:val="auto"/>
                <w:sz w:val="22"/>
                <w:szCs w:val="22"/>
                <w:u w:val="none"/>
                <w:lang w:val="en-US" w:eastAsia="zh-CN"/>
              </w:rPr>
            </w:pPr>
            <w:r>
              <w:rPr>
                <w:rFonts w:hint="eastAsia" w:ascii="等线" w:hAnsi="等线" w:eastAsia="等线" w:cs="等线"/>
                <w:i w:val="0"/>
                <w:iCs w:val="0"/>
                <w:color w:val="auto"/>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B14A72A">
            <w:pPr>
              <w:keepNext w:val="0"/>
              <w:keepLines w:val="0"/>
              <w:widowControl/>
              <w:suppressLineNumbers w:val="0"/>
              <w:jc w:val="both"/>
              <w:textAlignment w:val="top"/>
              <w:rPr>
                <w:rFonts w:hint="default" w:ascii="等线" w:hAnsi="等线" w:eastAsia="等线" w:cs="等线"/>
                <w:i w:val="0"/>
                <w:iCs w:val="0"/>
                <w:strike w:val="0"/>
                <w:dstrike w:val="0"/>
                <w:color w:val="auto"/>
                <w:kern w:val="0"/>
                <w:sz w:val="22"/>
                <w:szCs w:val="22"/>
                <w:u w:val="none"/>
                <w:lang w:val="en-US" w:eastAsia="zh-CN" w:bidi="ar"/>
              </w:rPr>
            </w:pPr>
            <w:r>
              <w:rPr>
                <w:rFonts w:hint="eastAsia" w:ascii="等线" w:hAnsi="等线" w:eastAsia="等线" w:cs="等线"/>
                <w:i w:val="0"/>
                <w:iCs w:val="0"/>
                <w:strike w:val="0"/>
                <w:dstrike w:val="0"/>
                <w:color w:val="auto"/>
                <w:kern w:val="0"/>
                <w:sz w:val="22"/>
                <w:szCs w:val="22"/>
                <w:u w:val="none"/>
                <w:lang w:val="en-US" w:eastAsia="zh-CN" w:bidi="ar"/>
              </w:rPr>
              <w:t>合作期间，公司向甲方收取信息系统软件使用服务费，不高于2000元/年，即控制价2000元/年，高于2000元/年，不得分。</w:t>
            </w:r>
            <w:r>
              <w:rPr>
                <w:rFonts w:hint="default" w:ascii="等线" w:hAnsi="等线" w:eastAsia="等线" w:cs="等线"/>
                <w:i w:val="0"/>
                <w:iCs w:val="0"/>
                <w:strike w:val="0"/>
                <w:dstrike w:val="0"/>
                <w:color w:val="auto"/>
                <w:kern w:val="0"/>
                <w:sz w:val="22"/>
                <w:szCs w:val="22"/>
                <w:u w:val="none"/>
                <w:lang w:val="en-US" w:eastAsia="zh-CN" w:bidi="ar"/>
              </w:rPr>
              <w:t>采用低价优先法计算，有效</w:t>
            </w:r>
            <w:r>
              <w:rPr>
                <w:rFonts w:hint="eastAsia" w:ascii="等线" w:hAnsi="等线" w:eastAsia="等线" w:cs="等线"/>
                <w:i w:val="0"/>
                <w:iCs w:val="0"/>
                <w:strike w:val="0"/>
                <w:dstrike w:val="0"/>
                <w:color w:val="auto"/>
                <w:kern w:val="0"/>
                <w:sz w:val="22"/>
                <w:szCs w:val="22"/>
                <w:u w:val="none"/>
                <w:lang w:val="en-US" w:eastAsia="zh-CN" w:bidi="ar"/>
              </w:rPr>
              <w:t>响应</w:t>
            </w:r>
            <w:r>
              <w:rPr>
                <w:rFonts w:hint="default" w:ascii="等线" w:hAnsi="等线" w:eastAsia="等线" w:cs="等线"/>
                <w:i w:val="0"/>
                <w:iCs w:val="0"/>
                <w:strike w:val="0"/>
                <w:dstrike w:val="0"/>
                <w:color w:val="auto"/>
                <w:kern w:val="0"/>
                <w:sz w:val="22"/>
                <w:szCs w:val="22"/>
                <w:u w:val="none"/>
                <w:lang w:val="en-US" w:eastAsia="zh-CN" w:bidi="ar"/>
              </w:rPr>
              <w:t>报价的最低价为评审基准价，其最低报价为满分。其他投标人的报价分统一按照下列公式计算：</w:t>
            </w:r>
            <w:r>
              <w:rPr>
                <w:rFonts w:hint="default" w:ascii="等线" w:hAnsi="等线" w:eastAsia="等线" w:cs="等线"/>
                <w:i w:val="0"/>
                <w:iCs w:val="0"/>
                <w:strike w:val="0"/>
                <w:dstrike w:val="0"/>
                <w:color w:val="auto"/>
                <w:kern w:val="0"/>
                <w:sz w:val="22"/>
                <w:szCs w:val="22"/>
                <w:u w:val="none"/>
                <w:lang w:val="en-US" w:eastAsia="zh-CN" w:bidi="ar"/>
              </w:rPr>
              <w:br w:type="textWrapping"/>
            </w:r>
            <w:r>
              <w:rPr>
                <w:rFonts w:hint="default" w:ascii="等线" w:hAnsi="等线" w:eastAsia="等线" w:cs="等线"/>
                <w:i w:val="0"/>
                <w:iCs w:val="0"/>
                <w:strike w:val="0"/>
                <w:dstrike w:val="0"/>
                <w:color w:val="auto"/>
                <w:kern w:val="0"/>
                <w:sz w:val="22"/>
                <w:szCs w:val="22"/>
                <w:u w:val="none"/>
                <w:lang w:val="en-US" w:eastAsia="zh-CN" w:bidi="ar"/>
              </w:rPr>
              <w:t>报价分=(评</w:t>
            </w:r>
            <w:r>
              <w:rPr>
                <w:rFonts w:hint="eastAsia" w:ascii="等线" w:hAnsi="等线" w:eastAsia="等线" w:cs="等线"/>
                <w:i w:val="0"/>
                <w:iCs w:val="0"/>
                <w:strike w:val="0"/>
                <w:dstrike w:val="0"/>
                <w:color w:val="auto"/>
                <w:kern w:val="0"/>
                <w:sz w:val="22"/>
                <w:szCs w:val="22"/>
                <w:u w:val="none"/>
                <w:lang w:val="en-US" w:eastAsia="zh-CN" w:bidi="ar"/>
              </w:rPr>
              <w:t>审</w:t>
            </w:r>
            <w:r>
              <w:rPr>
                <w:rFonts w:hint="default" w:ascii="等线" w:hAnsi="等线" w:eastAsia="等线" w:cs="等线"/>
                <w:i w:val="0"/>
                <w:iCs w:val="0"/>
                <w:strike w:val="0"/>
                <w:dstrike w:val="0"/>
                <w:color w:val="auto"/>
                <w:kern w:val="0"/>
                <w:sz w:val="22"/>
                <w:szCs w:val="22"/>
                <w:u w:val="none"/>
                <w:lang w:val="en-US" w:eastAsia="zh-CN" w:bidi="ar"/>
              </w:rPr>
              <w:t>基准价／投标报价)×该单项分值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76F6">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B63F">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r>
      <w:tr w14:paraId="7AE0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B809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B42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服务包利益分配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F9C5">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lang w:val="en-US" w:eastAsia="zh-CN"/>
              </w:rPr>
            </w:pPr>
            <w:r>
              <w:rPr>
                <w:rFonts w:hint="eastAsia" w:ascii="等线" w:hAnsi="等线" w:eastAsia="等线" w:cs="等线"/>
                <w:i w:val="0"/>
                <w:iCs w:val="0"/>
                <w:color w:val="auto"/>
                <w:sz w:val="22"/>
                <w:szCs w:val="22"/>
                <w:u w:val="none"/>
                <w:lang w:val="en-US" w:eastAsia="zh-CN"/>
              </w:rPr>
              <w:t>9</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76F35BBF">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auto"/>
                <w:sz w:val="22"/>
                <w:szCs w:val="22"/>
                <w:u w:val="none"/>
                <w:lang w:val="en-US" w:eastAsia="zh-CN"/>
              </w:rPr>
            </w:pPr>
            <w:r>
              <w:rPr>
                <w:rFonts w:hint="eastAsia" w:ascii="等线" w:hAnsi="等线" w:eastAsia="等线" w:cs="等线"/>
                <w:i w:val="0"/>
                <w:iCs w:val="0"/>
                <w:strike w:val="0"/>
                <w:dstrike w:val="0"/>
                <w:color w:val="auto"/>
                <w:kern w:val="0"/>
                <w:sz w:val="22"/>
                <w:szCs w:val="22"/>
                <w:u w:val="none"/>
                <w:lang w:val="en-US" w:eastAsia="zh-CN" w:bidi="ar"/>
              </w:rPr>
              <w:t>提供合规透明的利益分配方案，明确分配比例、结算周期及审计方式，按每月实际产生的服务包收费总额的比例进行分配与结算，</w:t>
            </w:r>
            <w:r>
              <w:rPr>
                <w:rFonts w:hint="eastAsia" w:ascii="等线" w:hAnsi="等线" w:eastAsia="等线" w:cs="等线"/>
                <w:i w:val="0"/>
                <w:iCs w:val="0"/>
                <w:color w:val="auto"/>
                <w:kern w:val="0"/>
                <w:sz w:val="22"/>
                <w:szCs w:val="22"/>
                <w:u w:val="none"/>
                <w:lang w:val="en-US" w:eastAsia="zh-CN" w:bidi="ar"/>
              </w:rPr>
              <w:t>医院分成占比8成及以上（9分）；医院分成占比7成（6分）；医院分成占比6成（3分）；医院分成占比低于6成（0分）。</w:t>
            </w:r>
            <w:r>
              <w:rPr>
                <w:rFonts w:hint="eastAsia" w:ascii="等线" w:hAnsi="等线" w:eastAsia="等线" w:cs="等线"/>
                <w:i w:val="0"/>
                <w:iCs w:val="0"/>
                <w:strike w:val="0"/>
                <w:dstrike w:val="0"/>
                <w:color w:val="auto"/>
                <w:kern w:val="0"/>
                <w:sz w:val="22"/>
                <w:szCs w:val="22"/>
                <w:u w:val="none"/>
                <w:lang w:val="en-US" w:eastAsia="zh-CN" w:bidi="ar"/>
              </w:rPr>
              <w:t>（此项应明确具体响应比例。）</w:t>
            </w:r>
            <w:r>
              <w:rPr>
                <w:rFonts w:hint="eastAsia" w:ascii="等线" w:hAnsi="等线" w:eastAsia="等线" w:cs="等线"/>
                <w:i w:val="0"/>
                <w:iCs w:val="0"/>
                <w:color w:val="auto"/>
                <w:kern w:val="0"/>
                <w:sz w:val="22"/>
                <w:szCs w:val="22"/>
                <w:u w:val="none"/>
                <w:lang w:val="en-US" w:eastAsia="zh-CN" w:bidi="ar"/>
              </w:rPr>
              <w:t xml:space="preserve">  </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70D3">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DE99">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r>
      <w:tr w14:paraId="0032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0CDF">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7CE0">
            <w:pPr>
              <w:keepNext w:val="0"/>
              <w:keepLines w:val="0"/>
              <w:widowControl/>
              <w:suppressLineNumbers w:val="0"/>
              <w:snapToGrid w:val="0"/>
              <w:ind w:left="0" w:leftChars="0" w:right="0" w:rightChars="0" w:firstLine="0" w:firstLineChars="0"/>
              <w:jc w:val="center"/>
              <w:textAlignment w:val="center"/>
              <w:rPr>
                <w:rFonts w:hint="default" w:ascii="等线" w:hAnsi="等线" w:eastAsia="等线" w:cs="等线"/>
                <w:i w:val="0"/>
                <w:iCs w:val="0"/>
                <w:strike w:val="0"/>
                <w:dstrike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大健康产品销售分成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A3BD">
            <w:pPr>
              <w:keepNext w:val="0"/>
              <w:keepLines w:val="0"/>
              <w:widowControl/>
              <w:suppressLineNumbers w:val="0"/>
              <w:snapToGrid w:val="0"/>
              <w:ind w:left="0" w:leftChars="0" w:right="0" w:rightChars="0" w:firstLine="0" w:firstLineChars="0"/>
              <w:jc w:val="center"/>
              <w:textAlignment w:val="center"/>
              <w:rPr>
                <w:rFonts w:hint="default" w:ascii="等线" w:hAnsi="等线" w:eastAsia="等线" w:cs="等线"/>
                <w:i w:val="0"/>
                <w:iCs w:val="0"/>
                <w:strike w:val="0"/>
                <w:dstrike w:val="0"/>
                <w:color w:val="auto"/>
                <w:kern w:val="0"/>
                <w:sz w:val="22"/>
                <w:szCs w:val="22"/>
                <w:u w:val="none"/>
                <w:lang w:val="en-US" w:eastAsia="zh-CN" w:bidi="ar"/>
              </w:rPr>
            </w:pPr>
            <w:r>
              <w:rPr>
                <w:rFonts w:hint="eastAsia" w:ascii="等线" w:hAnsi="等线" w:eastAsia="等线" w:cs="等线"/>
                <w:i w:val="0"/>
                <w:iCs w:val="0"/>
                <w:strike w:val="0"/>
                <w:dstrike w:val="0"/>
                <w:color w:val="auto"/>
                <w:kern w:val="0"/>
                <w:sz w:val="22"/>
                <w:szCs w:val="22"/>
                <w:u w:val="none"/>
                <w:lang w:val="en-US" w:eastAsia="zh-CN" w:bidi="ar"/>
              </w:rPr>
              <w:t>2</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6A4654D">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strike w:val="0"/>
                <w:dstrike w:val="0"/>
                <w:color w:val="auto"/>
                <w:kern w:val="0"/>
                <w:sz w:val="22"/>
                <w:szCs w:val="22"/>
                <w:u w:val="none"/>
                <w:lang w:val="en-US" w:eastAsia="zh-CN" w:bidi="ar"/>
              </w:rPr>
            </w:pPr>
            <w:r>
              <w:rPr>
                <w:rFonts w:hint="eastAsia" w:ascii="等线" w:hAnsi="等线" w:eastAsia="等线" w:cs="等线"/>
                <w:i w:val="0"/>
                <w:iCs w:val="0"/>
                <w:strike w:val="0"/>
                <w:dstrike w:val="0"/>
                <w:color w:val="auto"/>
                <w:kern w:val="0"/>
                <w:sz w:val="22"/>
                <w:szCs w:val="22"/>
                <w:u w:val="none"/>
                <w:lang w:val="en-US" w:eastAsia="zh-CN" w:bidi="ar"/>
              </w:rPr>
              <w:t>甲方三产公司可在共建平台销售大健康产品，乙方不收取销售分成，得2分。收取药食同源产品不高于销售额3%、文创类产品不高于销售额2%。得1分。高于前述比例，得0分。（此项应明确具体响应比例。）</w:t>
            </w:r>
            <w:r>
              <w:rPr>
                <w:rFonts w:hint="eastAsia" w:ascii="等线" w:hAnsi="等线" w:eastAsia="等线" w:cs="等线"/>
                <w:i w:val="0"/>
                <w:iCs w:val="0"/>
                <w:color w:val="auto"/>
                <w:kern w:val="0"/>
                <w:sz w:val="22"/>
                <w:szCs w:val="22"/>
                <w:u w:val="none"/>
                <w:lang w:val="en-US" w:eastAsia="zh-CN" w:bidi="ar"/>
              </w:rPr>
              <w:t xml:space="preserve">  </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0AA9">
            <w:pPr>
              <w:snapToGrid w:val="0"/>
              <w:ind w:left="0" w:leftChars="0" w:right="0" w:rightChars="0" w:firstLine="0" w:firstLineChars="0"/>
              <w:jc w:val="center"/>
              <w:rPr>
                <w:rFonts w:hint="eastAsia" w:ascii="等线" w:hAnsi="等线" w:eastAsia="等线" w:cs="等线"/>
                <w:i w:val="0"/>
                <w:iCs w:val="0"/>
                <w:strike w:val="0"/>
                <w:dstrike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B25E">
            <w:pPr>
              <w:snapToGrid w:val="0"/>
              <w:ind w:left="0" w:leftChars="0" w:right="0" w:rightChars="0" w:firstLine="0" w:firstLineChars="0"/>
              <w:jc w:val="center"/>
              <w:rPr>
                <w:rFonts w:hint="eastAsia" w:ascii="等线" w:hAnsi="等线" w:eastAsia="等线" w:cs="等线"/>
                <w:i w:val="0"/>
                <w:iCs w:val="0"/>
                <w:strike w:val="0"/>
                <w:dstrike w:val="0"/>
                <w:color w:val="FF0000"/>
                <w:sz w:val="22"/>
                <w:szCs w:val="22"/>
                <w:u w:val="none"/>
                <w:lang w:eastAsia="zh-CN"/>
              </w:rPr>
            </w:pPr>
          </w:p>
        </w:tc>
      </w:tr>
      <w:tr w14:paraId="5004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A3A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auto" w:sz="4" w:space="0"/>
              <w:right w:val="single" w:color="000000" w:sz="4" w:space="0"/>
            </w:tcBorders>
            <w:shd w:val="clear" w:color="auto" w:fill="auto"/>
            <w:vAlign w:val="center"/>
          </w:tcPr>
          <w:p w14:paraId="6CD2F15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运营推广</w:t>
            </w:r>
          </w:p>
        </w:tc>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2D3AB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8527" w:type="dxa"/>
            <w:tcBorders>
              <w:top w:val="single" w:color="000000" w:sz="4" w:space="0"/>
              <w:left w:val="single" w:color="000000" w:sz="4" w:space="0"/>
              <w:bottom w:val="single" w:color="auto" w:sz="4" w:space="0"/>
              <w:right w:val="nil"/>
            </w:tcBorders>
            <w:shd w:val="clear" w:color="auto" w:fill="auto"/>
            <w:vAlign w:val="center"/>
          </w:tcPr>
          <w:p w14:paraId="0F292F73">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供应商能安排1-2人负责一个病种的运营推广（5分）；供应商安排1名专人负责全院多病种的运营推广（2分）；供应商不能安排专人负责医院的运营推广（1分）。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BEDE">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8B51">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r>
      <w:tr w14:paraId="7724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CA5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auto" w:sz="4" w:space="0"/>
              <w:left w:val="single" w:color="000000" w:sz="4" w:space="0"/>
              <w:bottom w:val="single" w:color="000000" w:sz="4" w:space="0"/>
              <w:right w:val="single" w:color="000000" w:sz="4" w:space="0"/>
            </w:tcBorders>
            <w:shd w:val="clear" w:color="auto" w:fill="auto"/>
            <w:vAlign w:val="center"/>
          </w:tcPr>
          <w:p w14:paraId="5FF1EF44">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合作风险防控</w:t>
            </w:r>
          </w:p>
        </w:tc>
        <w:tc>
          <w:tcPr>
            <w:tcW w:w="8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A14D27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lang w:val="en-US" w:eastAsia="zh-CN"/>
              </w:rPr>
            </w:pPr>
            <w:r>
              <w:rPr>
                <w:rFonts w:hint="eastAsia" w:ascii="等线" w:hAnsi="等线" w:eastAsia="等线" w:cs="等线"/>
                <w:i w:val="0"/>
                <w:iCs w:val="0"/>
                <w:color w:val="auto"/>
                <w:sz w:val="22"/>
                <w:szCs w:val="22"/>
                <w:u w:val="none"/>
                <w:lang w:val="en-US" w:eastAsia="zh-CN"/>
              </w:rPr>
              <w:t>3</w:t>
            </w:r>
          </w:p>
        </w:tc>
        <w:tc>
          <w:tcPr>
            <w:tcW w:w="8527" w:type="dxa"/>
            <w:tcBorders>
              <w:top w:val="single" w:color="auto" w:sz="4" w:space="0"/>
              <w:left w:val="single" w:color="000000" w:sz="4" w:space="0"/>
              <w:bottom w:val="single" w:color="000000" w:sz="4" w:space="0"/>
              <w:right w:val="nil"/>
            </w:tcBorders>
            <w:shd w:val="clear" w:color="auto" w:fill="auto"/>
            <w:vAlign w:val="center"/>
          </w:tcPr>
          <w:p w14:paraId="36579C9B">
            <w:pPr>
              <w:keepNext w:val="0"/>
              <w:keepLines w:val="0"/>
              <w:widowControl/>
              <w:suppressLineNumbers w:val="0"/>
              <w:snapToGrid w:val="0"/>
              <w:ind w:left="0" w:leftChars="0" w:right="0" w:rightChars="0" w:firstLine="0" w:firstLineChars="0"/>
              <w:jc w:val="left"/>
              <w:textAlignment w:val="bottom"/>
              <w:rPr>
                <w:rFonts w:hint="default" w:ascii="等线" w:hAnsi="等线" w:eastAsia="等线" w:cs="等线"/>
                <w:i w:val="0"/>
                <w:iCs w:val="0"/>
                <w:color w:val="auto"/>
                <w:sz w:val="22"/>
                <w:szCs w:val="22"/>
                <w:u w:val="none"/>
                <w:lang w:val="en-US"/>
              </w:rPr>
            </w:pPr>
            <w:r>
              <w:rPr>
                <w:rFonts w:hint="eastAsia" w:ascii="等线" w:hAnsi="等线" w:eastAsia="等线" w:cs="等线"/>
                <w:i w:val="0"/>
                <w:iCs w:val="0"/>
                <w:color w:val="auto"/>
                <w:kern w:val="0"/>
                <w:sz w:val="22"/>
                <w:szCs w:val="22"/>
                <w:u w:val="none"/>
                <w:lang w:val="en-US" w:eastAsia="zh-CN" w:bidi="ar"/>
              </w:rPr>
              <w:t>包含数据泄露、服务未达标等风险的赔付条款（3分）；有基础风险约定，但无具体赔付标准（1分）；无风险防控或退出机制条款（0分）。</w:t>
            </w:r>
            <w:r>
              <w:rPr>
                <w:rFonts w:hint="default" w:ascii="等线" w:hAnsi="等线" w:eastAsia="等线" w:cs="等线"/>
                <w:i w:val="0"/>
                <w:iCs w:val="0"/>
                <w:color w:val="auto"/>
                <w:kern w:val="0"/>
                <w:sz w:val="22"/>
                <w:szCs w:val="22"/>
                <w:u w:val="none"/>
                <w:lang w:val="en-US" w:eastAsia="zh-CN" w:bidi="ar"/>
              </w:rPr>
              <w:t>售后运维方案满足kubernetes运维自动化管理技术，并提供kubernetes运维自动化管理技术工具实际运行截图</w:t>
            </w:r>
            <w:r>
              <w:rPr>
                <w:rFonts w:hint="eastAsia" w:ascii="等线" w:hAnsi="等线" w:eastAsia="等线" w:cs="等线"/>
                <w:i w:val="0"/>
                <w:iCs w:val="0"/>
                <w:color w:val="auto"/>
                <w:kern w:val="0"/>
                <w:sz w:val="22"/>
                <w:szCs w:val="22"/>
                <w:u w:val="none"/>
                <w:lang w:val="en-US" w:eastAsia="zh-CN" w:bidi="ar"/>
              </w:rPr>
              <w:t>的，加1分。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53C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B7A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DE7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6"/>
            <w:tcBorders>
              <w:top w:val="nil"/>
              <w:left w:val="nil"/>
              <w:bottom w:val="nil"/>
              <w:right w:val="nil"/>
            </w:tcBorders>
            <w:shd w:val="clear" w:color="auto" w:fill="auto"/>
            <w:vAlign w:val="center"/>
          </w:tcPr>
          <w:p w14:paraId="75A519A9">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请各单位按照以上内容制作合作方案，并对评分表中每一项评分指标逐一进行响应，评分项中需提供现场演示、案例证明、资质文件与响应承诺等佐证材料，无佐证的按不得分处理。提供的佐证材料应加盖公章。</w:t>
            </w:r>
          </w:p>
        </w:tc>
      </w:tr>
    </w:tbl>
    <w:p w14:paraId="064A1CCA">
      <w:pPr>
        <w:pStyle w:val="7"/>
        <w:ind w:firstLine="0" w:firstLineChars="0"/>
        <w:jc w:val="left"/>
        <w:rPr>
          <w:rFonts w:hint="default" w:ascii="微软雅黑" w:hAnsi="微软雅黑" w:eastAsia="微软雅黑" w:cs="微软雅黑"/>
          <w:b/>
          <w:bCs/>
          <w:kern w:val="0"/>
          <w:sz w:val="28"/>
          <w:szCs w:val="28"/>
          <w:lang w:val="en-US" w:eastAsia="zh-CN" w:bidi="ar"/>
        </w:rPr>
      </w:pPr>
    </w:p>
    <w:p w14:paraId="57262E67">
      <w:pPr>
        <w:pStyle w:val="39"/>
        <w:bidi w:val="0"/>
        <w:rPr>
          <w:rFonts w:hint="eastAsia" w:ascii="仿宋_GB2312" w:hAnsi="仿宋_GB2312" w:eastAsia="仿宋_GB2312" w:cs="仿宋_GB2312"/>
          <w:b/>
          <w:bCs/>
        </w:rPr>
      </w:pPr>
    </w:p>
    <w:p w14:paraId="017F7120">
      <w:pPr>
        <w:pStyle w:val="39"/>
        <w:bidi w:val="0"/>
        <w:rPr>
          <w:rFonts w:hint="eastAsia" w:ascii="仿宋_GB2312" w:hAnsi="仿宋_GB2312" w:eastAsia="仿宋_GB2312" w:cs="仿宋_GB2312"/>
          <w:b/>
          <w:bCs/>
        </w:rPr>
      </w:pPr>
    </w:p>
    <w:p w14:paraId="198981BB">
      <w:pPr>
        <w:pStyle w:val="39"/>
        <w:bidi w:val="0"/>
        <w:rPr>
          <w:rFonts w:hint="eastAsia" w:ascii="仿宋_GB2312" w:hAnsi="仿宋_GB2312" w:eastAsia="仿宋_GB2312" w:cs="仿宋_GB2312"/>
          <w:b/>
          <w:bCs/>
        </w:rPr>
      </w:pPr>
      <w:bookmarkStart w:id="0" w:name="_GoBack"/>
      <w:bookmarkEnd w:id="0"/>
    </w:p>
    <w:p w14:paraId="1DBCFA8B">
      <w:pPr>
        <w:pStyle w:val="39"/>
        <w:bidi w:val="0"/>
        <w:rPr>
          <w:rFonts w:hint="eastAsia" w:ascii="仿宋_GB2312" w:hAnsi="仿宋_GB2312" w:eastAsia="仿宋_GB2312" w:cs="仿宋_GB2312"/>
          <w:b/>
          <w:bCs/>
        </w:rPr>
      </w:pPr>
    </w:p>
    <w:p w14:paraId="7E1F4D62">
      <w:pPr>
        <w:pStyle w:val="39"/>
        <w:bidi w:val="0"/>
        <w:rPr>
          <w:rFonts w:hint="eastAsia" w:ascii="仿宋_GB2312" w:hAnsi="仿宋_GB2312" w:eastAsia="仿宋_GB2312" w:cs="仿宋_GB2312"/>
          <w:b/>
          <w:bCs/>
        </w:rPr>
      </w:pPr>
    </w:p>
    <w:p w14:paraId="59D89299">
      <w:pPr>
        <w:pStyle w:val="39"/>
        <w:bidi w:val="0"/>
        <w:rPr>
          <w:rFonts w:hint="eastAsia" w:ascii="仿宋_GB2312" w:hAnsi="仿宋_GB2312" w:eastAsia="仿宋_GB2312" w:cs="仿宋_GB2312"/>
          <w:b/>
          <w:bCs/>
        </w:rPr>
      </w:pPr>
    </w:p>
    <w:p w14:paraId="5218C9A8">
      <w:pPr>
        <w:pStyle w:val="39"/>
        <w:bidi w:val="0"/>
        <w:rPr>
          <w:rFonts w:hint="eastAsia" w:ascii="仿宋_GB2312" w:hAnsi="仿宋_GB2312" w:eastAsia="仿宋_GB2312" w:cs="仿宋_GB2312"/>
          <w:b/>
          <w:bCs/>
        </w:rPr>
      </w:pPr>
    </w:p>
    <w:p w14:paraId="797CEC7B">
      <w:pPr>
        <w:pStyle w:val="39"/>
        <w:bidi w:val="0"/>
        <w:rPr>
          <w:rFonts w:hint="eastAsia" w:ascii="仿宋_GB2312" w:hAnsi="仿宋_GB2312" w:eastAsia="仿宋_GB2312" w:cs="仿宋_GB2312"/>
          <w:b/>
          <w:bCs/>
        </w:rPr>
      </w:pPr>
    </w:p>
    <w:p w14:paraId="6F53D804">
      <w:pPr>
        <w:pStyle w:val="39"/>
        <w:bidi w:val="0"/>
        <w:rPr>
          <w:rFonts w:hint="eastAsia" w:ascii="仿宋_GB2312" w:hAnsi="仿宋_GB2312" w:eastAsia="仿宋_GB2312" w:cs="仿宋_GB2312"/>
          <w:b/>
          <w:bCs/>
        </w:rPr>
      </w:pPr>
    </w:p>
    <w:p w14:paraId="1B19F50E">
      <w:pPr>
        <w:pStyle w:val="39"/>
        <w:bidi w:val="0"/>
        <w:rPr>
          <w:rFonts w:hint="eastAsia" w:ascii="仿宋_GB2312" w:hAnsi="仿宋_GB2312" w:eastAsia="仿宋_GB2312" w:cs="仿宋_GB2312"/>
          <w:b/>
          <w:bCs/>
        </w:rPr>
      </w:pPr>
    </w:p>
    <w:p w14:paraId="63DC0BF1">
      <w:pPr>
        <w:pStyle w:val="39"/>
        <w:bidi w:val="0"/>
        <w:rPr>
          <w:rFonts w:hint="eastAsia" w:ascii="仿宋_GB2312" w:hAnsi="仿宋_GB2312" w:eastAsia="仿宋_GB2312" w:cs="仿宋_GB2312"/>
          <w:b/>
          <w:bCs/>
        </w:rPr>
      </w:pPr>
    </w:p>
    <w:p w14:paraId="2DEC984C">
      <w:pPr>
        <w:pStyle w:val="39"/>
        <w:bidi w:val="0"/>
        <w:rPr>
          <w:rFonts w:hint="eastAsia" w:ascii="仿宋_GB2312" w:hAnsi="仿宋_GB2312" w:eastAsia="仿宋_GB2312" w:cs="仿宋_GB2312"/>
          <w:b/>
          <w:bCs/>
        </w:rPr>
      </w:pPr>
      <w:r>
        <w:rPr>
          <w:rFonts w:hint="eastAsia" w:ascii="仿宋_GB2312" w:hAnsi="仿宋_GB2312" w:eastAsia="仿宋_GB2312" w:cs="仿宋_GB2312"/>
          <w:b/>
          <w:bCs/>
        </w:rPr>
        <w:t>附件3：</w:t>
      </w:r>
    </w:p>
    <w:tbl>
      <w:tblPr>
        <w:tblStyle w:val="19"/>
        <w:tblW w:w="13952" w:type="dxa"/>
        <w:tblInd w:w="91" w:type="dxa"/>
        <w:tblLayout w:type="fixed"/>
        <w:tblCellMar>
          <w:top w:w="0" w:type="dxa"/>
          <w:left w:w="108" w:type="dxa"/>
          <w:bottom w:w="0" w:type="dxa"/>
          <w:right w:w="108" w:type="dxa"/>
        </w:tblCellMar>
      </w:tblPr>
      <w:tblGrid>
        <w:gridCol w:w="355"/>
        <w:gridCol w:w="749"/>
        <w:gridCol w:w="761"/>
        <w:gridCol w:w="775"/>
        <w:gridCol w:w="6258"/>
        <w:gridCol w:w="5054"/>
      </w:tblGrid>
      <w:tr w14:paraId="4456582D">
        <w:tblPrEx>
          <w:tblCellMar>
            <w:top w:w="0" w:type="dxa"/>
            <w:left w:w="108" w:type="dxa"/>
            <w:bottom w:w="0" w:type="dxa"/>
            <w:right w:w="108" w:type="dxa"/>
          </w:tblCellMar>
        </w:tblPrEx>
        <w:trPr>
          <w:trHeight w:val="695" w:hRule="atLeast"/>
        </w:trPr>
        <w:tc>
          <w:tcPr>
            <w:tcW w:w="13952" w:type="dxa"/>
            <w:gridSpan w:val="6"/>
            <w:tcBorders>
              <w:top w:val="nil"/>
              <w:left w:val="nil"/>
              <w:bottom w:val="nil"/>
              <w:right w:val="nil"/>
            </w:tcBorders>
            <w:noWrap/>
            <w:vAlign w:val="center"/>
          </w:tcPr>
          <w:p w14:paraId="4FDB6B9C">
            <w:pPr>
              <w:widowControl/>
              <w:jc w:val="center"/>
              <w:textAlignment w:val="center"/>
              <w:rPr>
                <w:rFonts w:ascii="微软雅黑" w:hAnsi="微软雅黑" w:eastAsia="微软雅黑" w:cs="微软雅黑"/>
                <w:b/>
                <w:bCs/>
                <w:sz w:val="28"/>
                <w:szCs w:val="28"/>
              </w:rPr>
            </w:pPr>
            <w:r>
              <w:rPr>
                <w:rFonts w:hint="eastAsia" w:ascii="微软雅黑" w:hAnsi="微软雅黑" w:eastAsia="微软雅黑" w:cs="微软雅黑"/>
                <w:b/>
                <w:bCs/>
                <w:kern w:val="0"/>
                <w:sz w:val="28"/>
                <w:szCs w:val="28"/>
                <w:lang w:val="en-US" w:eastAsia="zh-CN" w:bidi="ar"/>
              </w:rPr>
              <w:t>全病程管理信息系统</w:t>
            </w:r>
            <w:r>
              <w:rPr>
                <w:rFonts w:hint="eastAsia" w:ascii="微软雅黑" w:hAnsi="微软雅黑" w:eastAsia="微软雅黑" w:cs="微软雅黑"/>
                <w:b/>
                <w:bCs/>
                <w:kern w:val="0"/>
                <w:sz w:val="28"/>
                <w:szCs w:val="28"/>
                <w:lang w:bidi="ar"/>
              </w:rPr>
              <w:t>合作项目实地考察评分表</w:t>
            </w:r>
          </w:p>
        </w:tc>
      </w:tr>
      <w:tr w14:paraId="73EB63DE">
        <w:tblPrEx>
          <w:tblCellMar>
            <w:top w:w="0" w:type="dxa"/>
            <w:left w:w="108" w:type="dxa"/>
            <w:bottom w:w="0" w:type="dxa"/>
            <w:right w:w="108" w:type="dxa"/>
          </w:tblCellMar>
        </w:tblPrEx>
        <w:trPr>
          <w:trHeight w:val="973" w:hRule="atLeast"/>
        </w:trPr>
        <w:tc>
          <w:tcPr>
            <w:tcW w:w="355" w:type="dxa"/>
            <w:tcBorders>
              <w:top w:val="single" w:color="auto" w:sz="4" w:space="0"/>
              <w:left w:val="single" w:color="auto" w:sz="4" w:space="0"/>
              <w:bottom w:val="single" w:color="auto" w:sz="4" w:space="0"/>
              <w:right w:val="single" w:color="000000" w:sz="4" w:space="0"/>
            </w:tcBorders>
            <w:noWrap/>
            <w:vAlign w:val="center"/>
          </w:tcPr>
          <w:p w14:paraId="4DF583E3">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序号</w:t>
            </w:r>
          </w:p>
        </w:tc>
        <w:tc>
          <w:tcPr>
            <w:tcW w:w="749" w:type="dxa"/>
            <w:tcBorders>
              <w:top w:val="single" w:color="auto" w:sz="4" w:space="0"/>
              <w:left w:val="single" w:color="000000" w:sz="4" w:space="0"/>
              <w:bottom w:val="single" w:color="auto" w:sz="4" w:space="0"/>
              <w:right w:val="single" w:color="auto" w:sz="4" w:space="0"/>
            </w:tcBorders>
            <w:noWrap/>
            <w:vAlign w:val="center"/>
          </w:tcPr>
          <w:p w14:paraId="189118E2">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评分</w:t>
            </w:r>
          </w:p>
        </w:tc>
        <w:tc>
          <w:tcPr>
            <w:tcW w:w="761" w:type="dxa"/>
            <w:tcBorders>
              <w:top w:val="single" w:color="000000" w:sz="4" w:space="0"/>
              <w:left w:val="single" w:color="auto" w:sz="4" w:space="0"/>
              <w:bottom w:val="single" w:color="000000" w:sz="4" w:space="0"/>
              <w:right w:val="single" w:color="000000" w:sz="4" w:space="0"/>
            </w:tcBorders>
            <w:noWrap/>
            <w:vAlign w:val="center"/>
          </w:tcPr>
          <w:p w14:paraId="253B4077">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分项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C81C5D0">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分值</w:t>
            </w:r>
          </w:p>
        </w:tc>
        <w:tc>
          <w:tcPr>
            <w:tcW w:w="6258" w:type="dxa"/>
            <w:tcBorders>
              <w:top w:val="single" w:color="000000" w:sz="4" w:space="0"/>
              <w:left w:val="single" w:color="000000" w:sz="4" w:space="0"/>
              <w:bottom w:val="single" w:color="000000" w:sz="4" w:space="0"/>
              <w:right w:val="single" w:color="000000" w:sz="4" w:space="0"/>
            </w:tcBorders>
            <w:noWrap/>
            <w:vAlign w:val="center"/>
          </w:tcPr>
          <w:p w14:paraId="43CB29C9">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评价内容</w:t>
            </w:r>
          </w:p>
        </w:tc>
        <w:tc>
          <w:tcPr>
            <w:tcW w:w="5054" w:type="dxa"/>
            <w:tcBorders>
              <w:top w:val="single" w:color="000000" w:sz="4" w:space="0"/>
              <w:left w:val="single" w:color="000000" w:sz="4" w:space="0"/>
              <w:bottom w:val="single" w:color="000000" w:sz="4" w:space="0"/>
              <w:right w:val="single" w:color="000000" w:sz="4" w:space="0"/>
            </w:tcBorders>
            <w:noWrap/>
            <w:vAlign w:val="center"/>
          </w:tcPr>
          <w:p w14:paraId="6F978E7F">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评分标准</w:t>
            </w:r>
          </w:p>
        </w:tc>
      </w:tr>
      <w:tr w14:paraId="6CB0271D">
        <w:tblPrEx>
          <w:tblCellMar>
            <w:top w:w="0" w:type="dxa"/>
            <w:left w:w="108" w:type="dxa"/>
            <w:bottom w:w="0" w:type="dxa"/>
            <w:right w:w="108" w:type="dxa"/>
          </w:tblCellMar>
        </w:tblPrEx>
        <w:trPr>
          <w:trHeight w:val="90" w:hRule="atLeast"/>
        </w:trPr>
        <w:tc>
          <w:tcPr>
            <w:tcW w:w="355" w:type="dxa"/>
            <w:vMerge w:val="restart"/>
            <w:tcBorders>
              <w:top w:val="single" w:color="auto" w:sz="4" w:space="0"/>
              <w:left w:val="single" w:color="000000" w:sz="4" w:space="0"/>
              <w:right w:val="single" w:color="000000" w:sz="4" w:space="0"/>
            </w:tcBorders>
            <w:noWrap/>
            <w:vAlign w:val="center"/>
          </w:tcPr>
          <w:p w14:paraId="75B2A3DB">
            <w:pPr>
              <w:jc w:val="left"/>
              <w:rPr>
                <w:rFonts w:hint="eastAsia" w:ascii="仿宋_GB2312" w:hAnsi="宋体" w:eastAsia="仿宋_GB2312" w:cs="仿宋_GB2312"/>
                <w:sz w:val="24"/>
                <w:lang w:val="en-US" w:eastAsia="zh-CN"/>
              </w:rPr>
            </w:pPr>
            <w:r>
              <w:rPr>
                <w:rFonts w:hint="eastAsia" w:ascii="仿宋_GB2312" w:hAnsi="宋体" w:eastAsia="仿宋_GB2312" w:cs="仿宋_GB2312"/>
                <w:sz w:val="24"/>
                <w:lang w:val="en-US" w:eastAsia="zh-CN"/>
              </w:rPr>
              <w:t>1</w:t>
            </w:r>
          </w:p>
        </w:tc>
        <w:tc>
          <w:tcPr>
            <w:tcW w:w="749" w:type="dxa"/>
            <w:vMerge w:val="restart"/>
            <w:tcBorders>
              <w:top w:val="single" w:color="auto" w:sz="4" w:space="0"/>
              <w:left w:val="single" w:color="000000" w:sz="4" w:space="0"/>
              <w:right w:val="single" w:color="000000" w:sz="4" w:space="0"/>
            </w:tcBorders>
            <w:noWrap w:val="0"/>
            <w:vAlign w:val="center"/>
          </w:tcPr>
          <w:p w14:paraId="437D6BEC">
            <w:pPr>
              <w:jc w:val="left"/>
              <w:rPr>
                <w:rFonts w:hint="eastAsia" w:ascii="仿宋_GB2312" w:hAnsi="宋体" w:eastAsia="仿宋_GB2312" w:cs="仿宋_GB2312"/>
                <w:sz w:val="24"/>
                <w:lang w:eastAsia="zh-CN"/>
              </w:rPr>
            </w:pPr>
            <w:r>
              <w:rPr>
                <w:rFonts w:hint="eastAsia" w:ascii="仿宋_GB2312" w:hAnsi="宋体" w:eastAsia="仿宋_GB2312" w:cs="仿宋_GB2312"/>
                <w:sz w:val="24"/>
                <w:lang w:eastAsia="zh-CN"/>
              </w:rPr>
              <w:t>公司管理</w:t>
            </w:r>
          </w:p>
          <w:p w14:paraId="7B1C040D">
            <w:pPr>
              <w:pStyle w:val="6"/>
              <w:rPr>
                <w:rFonts w:hint="eastAsia"/>
                <w:lang w:eastAsia="zh-CN"/>
              </w:rPr>
            </w:pPr>
            <w:r>
              <w:rPr>
                <w:rFonts w:hint="eastAsia" w:ascii="仿宋_GB2312" w:hAnsi="宋体" w:eastAsia="仿宋_GB2312" w:cs="仿宋_GB2312"/>
                <w:sz w:val="24"/>
                <w:lang w:eastAsia="zh-CN"/>
              </w:rPr>
              <w:t>（</w:t>
            </w:r>
            <w:r>
              <w:rPr>
                <w:rFonts w:hint="eastAsia" w:ascii="仿宋_GB2312" w:hAnsi="宋体" w:eastAsia="仿宋_GB2312" w:cs="仿宋_GB2312"/>
                <w:sz w:val="24"/>
                <w:lang w:val="en-US" w:eastAsia="zh-CN"/>
              </w:rPr>
              <w:t>25分</w:t>
            </w:r>
            <w:r>
              <w:rPr>
                <w:rFonts w:hint="eastAsia" w:ascii="仿宋_GB2312" w:hAnsi="宋体" w:eastAsia="仿宋_GB2312" w:cs="仿宋_GB2312"/>
                <w:sz w:val="24"/>
                <w:lang w:eastAsia="zh-CN"/>
              </w:rPr>
              <w:t>）</w:t>
            </w:r>
          </w:p>
        </w:tc>
        <w:tc>
          <w:tcPr>
            <w:tcW w:w="761" w:type="dxa"/>
            <w:tcBorders>
              <w:top w:val="nil"/>
              <w:left w:val="single" w:color="000000" w:sz="4" w:space="0"/>
              <w:bottom w:val="single" w:color="000000" w:sz="4" w:space="0"/>
              <w:right w:val="single" w:color="000000" w:sz="4" w:space="0"/>
            </w:tcBorders>
            <w:noWrap w:val="0"/>
            <w:vAlign w:val="center"/>
          </w:tcPr>
          <w:p w14:paraId="6E21596E">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实地环境</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3135BF0">
            <w:pPr>
              <w:keepNext w:val="0"/>
              <w:keepLines w:val="0"/>
              <w:widowControl/>
              <w:suppressLineNumbers w:val="0"/>
              <w:jc w:val="center"/>
              <w:rPr>
                <w:rFonts w:hint="default" w:ascii="仿宋_GB2312" w:hAnsi="宋体" w:eastAsia="仿宋_GB2312" w:cs="仿宋_GB2312"/>
                <w:sz w:val="24"/>
                <w:lang w:val="en-US"/>
              </w:rPr>
            </w:pPr>
            <w:r>
              <w:rPr>
                <w:rFonts w:hint="eastAsia" w:ascii="仿宋_GB2312" w:hAnsi="宋体" w:eastAsia="仿宋_GB2312" w:cs="仿宋_GB2312"/>
                <w:kern w:val="0"/>
                <w:sz w:val="24"/>
                <w:szCs w:val="24"/>
                <w:lang w:val="en-US" w:eastAsia="zh-CN" w:bidi="ar"/>
              </w:rPr>
              <w:t>10</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5C14F76D">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公司办公环境、企业文化建设、团队工作氛围、研发/办公场地配套等情况。</w:t>
            </w:r>
          </w:p>
        </w:tc>
        <w:tc>
          <w:tcPr>
            <w:tcW w:w="5054" w:type="dxa"/>
            <w:tcBorders>
              <w:top w:val="single" w:color="000000" w:sz="4" w:space="0"/>
              <w:left w:val="single" w:color="000000" w:sz="4" w:space="0"/>
              <w:bottom w:val="single" w:color="000000" w:sz="4" w:space="0"/>
              <w:right w:val="single" w:color="000000" w:sz="4" w:space="0"/>
            </w:tcBorders>
            <w:noWrap/>
            <w:vAlign w:val="center"/>
          </w:tcPr>
          <w:p w14:paraId="41F5AD4D">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公司环境整洁规范、工作氛围积极、有完善的企业文化体系及配套场地的得10分；一般的得5分；较差的不得分。</w:t>
            </w:r>
          </w:p>
        </w:tc>
      </w:tr>
      <w:tr w14:paraId="0A1E1967">
        <w:tblPrEx>
          <w:tblCellMar>
            <w:top w:w="0" w:type="dxa"/>
            <w:left w:w="108" w:type="dxa"/>
            <w:bottom w:w="0" w:type="dxa"/>
            <w:right w:w="108" w:type="dxa"/>
          </w:tblCellMar>
        </w:tblPrEx>
        <w:trPr>
          <w:trHeight w:val="739" w:hRule="atLeast"/>
        </w:trPr>
        <w:tc>
          <w:tcPr>
            <w:tcW w:w="355" w:type="dxa"/>
            <w:vMerge w:val="continue"/>
            <w:tcBorders>
              <w:left w:val="single" w:color="000000" w:sz="4" w:space="0"/>
              <w:right w:val="single" w:color="000000" w:sz="4" w:space="0"/>
            </w:tcBorders>
            <w:noWrap/>
            <w:vAlign w:val="center"/>
          </w:tcPr>
          <w:p w14:paraId="11AE4EC7">
            <w:pPr>
              <w:jc w:val="left"/>
              <w:rPr>
                <w:rFonts w:ascii="仿宋_GB2312" w:hAnsi="宋体" w:eastAsia="仿宋_GB2312" w:cs="仿宋_GB2312"/>
                <w:sz w:val="24"/>
              </w:rPr>
            </w:pPr>
          </w:p>
        </w:tc>
        <w:tc>
          <w:tcPr>
            <w:tcW w:w="749" w:type="dxa"/>
            <w:vMerge w:val="continue"/>
            <w:tcBorders>
              <w:left w:val="single" w:color="000000" w:sz="4" w:space="0"/>
              <w:right w:val="single" w:color="000000" w:sz="4" w:space="0"/>
            </w:tcBorders>
            <w:noWrap w:val="0"/>
            <w:vAlign w:val="center"/>
          </w:tcPr>
          <w:p w14:paraId="0E336F57">
            <w:pPr>
              <w:jc w:val="left"/>
              <w:rPr>
                <w:rFonts w:ascii="仿宋_GB2312" w:hAnsi="宋体" w:eastAsia="仿宋_GB2312" w:cs="仿宋_GB2312"/>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6B83A997">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管理</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7AB0607">
            <w:pPr>
              <w:keepNext w:val="0"/>
              <w:keepLines w:val="0"/>
              <w:widowControl/>
              <w:suppressLineNumbers w:val="0"/>
              <w:jc w:val="center"/>
              <w:rPr>
                <w:rFonts w:hint="default" w:ascii="仿宋_GB2312" w:hAnsi="宋体" w:eastAsia="仿宋_GB2312" w:cs="仿宋_GB2312"/>
                <w:sz w:val="24"/>
                <w:lang w:val="en-US"/>
              </w:rPr>
            </w:pPr>
            <w:r>
              <w:rPr>
                <w:rFonts w:hint="eastAsia" w:ascii="仿宋_GB2312" w:hAnsi="宋体" w:eastAsia="仿宋_GB2312" w:cs="仿宋_GB2312"/>
                <w:kern w:val="0"/>
                <w:sz w:val="24"/>
                <w:szCs w:val="24"/>
                <w:lang w:val="en-US" w:eastAsia="zh-CN" w:bidi="ar"/>
              </w:rPr>
              <w:t>15</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521BB6C3">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公司组织架构清晰度，岗位分工、岗位职责明确性，管理制度、项目管理体系健全性。</w:t>
            </w:r>
            <w:r>
              <w:rPr>
                <w:rStyle w:val="22"/>
                <w:rFonts w:ascii="Segoe UI" w:hAnsi="Segoe UI" w:eastAsia="Segoe UI" w:cs="Segoe UI"/>
                <w:b/>
                <w:bCs/>
                <w:i w:val="0"/>
                <w:iCs w:val="0"/>
                <w:caps w:val="0"/>
                <w:color w:val="0F1115"/>
                <w:spacing w:val="0"/>
                <w:sz w:val="22"/>
                <w:szCs w:val="22"/>
                <w:shd w:val="clear" w:fill="FFFFFF"/>
              </w:rPr>
              <w:t>重点关注是否有专门负责医疗信息化项目、慢病管理项目、运营推广项目的团队划分。</w:t>
            </w:r>
          </w:p>
        </w:tc>
        <w:tc>
          <w:tcPr>
            <w:tcW w:w="5054" w:type="dxa"/>
            <w:tcBorders>
              <w:top w:val="single" w:color="000000" w:sz="4" w:space="0"/>
              <w:left w:val="single" w:color="000000" w:sz="4" w:space="0"/>
              <w:bottom w:val="single" w:color="000000" w:sz="4" w:space="0"/>
              <w:right w:val="single" w:color="000000" w:sz="4" w:space="0"/>
            </w:tcBorders>
            <w:noWrap/>
            <w:vAlign w:val="center"/>
          </w:tcPr>
          <w:p w14:paraId="7ECF7704">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组织架构清晰、制度职责健全、项目管理体系完善的得15分；一般的得8分；较差的不得分。</w:t>
            </w:r>
          </w:p>
        </w:tc>
      </w:tr>
      <w:tr w14:paraId="531982C0">
        <w:tblPrEx>
          <w:tblCellMar>
            <w:top w:w="0" w:type="dxa"/>
            <w:left w:w="108" w:type="dxa"/>
            <w:bottom w:w="0" w:type="dxa"/>
            <w:right w:w="108" w:type="dxa"/>
          </w:tblCellMar>
        </w:tblPrEx>
        <w:trPr>
          <w:trHeight w:val="929" w:hRule="atLeast"/>
        </w:trPr>
        <w:tc>
          <w:tcPr>
            <w:tcW w:w="355" w:type="dxa"/>
            <w:vMerge w:val="restart"/>
            <w:tcBorders>
              <w:top w:val="single" w:color="000000" w:sz="4" w:space="0"/>
              <w:left w:val="single" w:color="000000" w:sz="4" w:space="0"/>
              <w:bottom w:val="nil"/>
              <w:right w:val="single" w:color="000000" w:sz="4" w:space="0"/>
            </w:tcBorders>
            <w:noWrap/>
            <w:vAlign w:val="center"/>
          </w:tcPr>
          <w:p w14:paraId="4D8B82C8">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2</w:t>
            </w:r>
          </w:p>
        </w:tc>
        <w:tc>
          <w:tcPr>
            <w:tcW w:w="749" w:type="dxa"/>
            <w:vMerge w:val="restart"/>
            <w:tcBorders>
              <w:top w:val="single" w:color="000000" w:sz="4" w:space="0"/>
              <w:left w:val="single" w:color="000000" w:sz="4" w:space="0"/>
              <w:bottom w:val="nil"/>
              <w:right w:val="single" w:color="000000" w:sz="4" w:space="0"/>
            </w:tcBorders>
            <w:noWrap w:val="0"/>
            <w:vAlign w:val="center"/>
          </w:tcPr>
          <w:p w14:paraId="7E08A622">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合作能力(55 分）</w:t>
            </w:r>
          </w:p>
        </w:tc>
        <w:tc>
          <w:tcPr>
            <w:tcW w:w="761" w:type="dxa"/>
            <w:tcBorders>
              <w:top w:val="nil"/>
              <w:left w:val="single" w:color="000000" w:sz="4" w:space="0"/>
              <w:bottom w:val="single" w:color="000000" w:sz="4" w:space="0"/>
              <w:right w:val="single" w:color="000000" w:sz="4" w:space="0"/>
            </w:tcBorders>
            <w:noWrap w:val="0"/>
            <w:vAlign w:val="center"/>
          </w:tcPr>
          <w:p w14:paraId="46776B3C">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技术服务能力</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0C2282C">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szCs w:val="24"/>
                <w:lang w:val="en-US" w:eastAsia="zh-CN" w:bidi="ar"/>
              </w:rPr>
              <w:t>20</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3BFF3393">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技术服务团队配备合理性，运维人员、技术对接人员专业度，7×24 小时响应机制，故障处理效率，系统培训、升级优化服务能力。</w:t>
            </w:r>
            <w:r>
              <w:rPr>
                <w:rStyle w:val="22"/>
                <w:rFonts w:ascii="Segoe UI" w:hAnsi="Segoe UI" w:eastAsia="Segoe UI" w:cs="Segoe UI"/>
                <w:b/>
                <w:bCs/>
                <w:i w:val="0"/>
                <w:iCs w:val="0"/>
                <w:caps w:val="0"/>
                <w:color w:val="0F1115"/>
                <w:spacing w:val="0"/>
                <w:sz w:val="22"/>
                <w:szCs w:val="22"/>
                <w:shd w:val="clear" w:fill="FFFFFF"/>
              </w:rPr>
              <w:t>重点考察是否配备专职运营推广人员支持慢病管理中心服务包推广工作。系统培训、升级优化服务能力。</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3B910342">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团队配备充足专业、有完善 7×24 响应机制、故障及时处理且配套培训/升级服务的得20 分；人员配备不达标或响应/服务能力不足的，每缺1项扣5分，扣完为止。</w:t>
            </w:r>
          </w:p>
        </w:tc>
      </w:tr>
      <w:tr w14:paraId="37C9FD06">
        <w:tblPrEx>
          <w:tblCellMar>
            <w:top w:w="0" w:type="dxa"/>
            <w:left w:w="108" w:type="dxa"/>
            <w:bottom w:w="0" w:type="dxa"/>
            <w:right w:w="108" w:type="dxa"/>
          </w:tblCellMar>
        </w:tblPrEx>
        <w:trPr>
          <w:trHeight w:val="485" w:hRule="atLeast"/>
        </w:trPr>
        <w:tc>
          <w:tcPr>
            <w:tcW w:w="355" w:type="dxa"/>
            <w:vMerge w:val="continue"/>
            <w:tcBorders>
              <w:top w:val="single" w:color="000000" w:sz="4" w:space="0"/>
              <w:left w:val="single" w:color="000000" w:sz="4" w:space="0"/>
              <w:bottom w:val="single" w:color="000000" w:sz="4" w:space="0"/>
              <w:right w:val="single" w:color="000000" w:sz="4" w:space="0"/>
            </w:tcBorders>
            <w:noWrap/>
            <w:vAlign w:val="center"/>
          </w:tcPr>
          <w:p w14:paraId="14F304E9">
            <w:pPr>
              <w:jc w:val="left"/>
              <w:rPr>
                <w:rFonts w:ascii="仿宋_GB2312" w:hAnsi="宋体" w:eastAsia="仿宋_GB2312" w:cs="仿宋_GB2312"/>
                <w:sz w:val="24"/>
              </w:rPr>
            </w:pPr>
          </w:p>
        </w:tc>
        <w:tc>
          <w:tcPr>
            <w:tcW w:w="749" w:type="dxa"/>
            <w:vMerge w:val="continue"/>
            <w:tcBorders>
              <w:top w:val="single" w:color="000000" w:sz="4" w:space="0"/>
              <w:left w:val="nil"/>
              <w:bottom w:val="nil"/>
              <w:right w:val="single" w:color="000000" w:sz="4" w:space="0"/>
            </w:tcBorders>
            <w:noWrap w:val="0"/>
            <w:vAlign w:val="center"/>
          </w:tcPr>
          <w:p w14:paraId="5104D93C">
            <w:pPr>
              <w:jc w:val="left"/>
              <w:rPr>
                <w:rFonts w:ascii="仿宋_GB2312" w:hAnsi="宋体" w:eastAsia="仿宋_GB2312" w:cs="仿宋_GB2312"/>
                <w:sz w:val="24"/>
              </w:rPr>
            </w:pPr>
          </w:p>
        </w:tc>
        <w:tc>
          <w:tcPr>
            <w:tcW w:w="761" w:type="dxa"/>
            <w:tcBorders>
              <w:top w:val="single" w:color="000000" w:sz="4" w:space="0"/>
              <w:left w:val="single" w:color="000000" w:sz="4" w:space="0"/>
              <w:bottom w:val="nil"/>
              <w:right w:val="single" w:color="000000" w:sz="4" w:space="0"/>
            </w:tcBorders>
            <w:noWrap w:val="0"/>
            <w:vAlign w:val="center"/>
          </w:tcPr>
          <w:p w14:paraId="002EE499">
            <w:pPr>
              <w:keepNext w:val="0"/>
              <w:keepLines w:val="0"/>
              <w:widowControl/>
              <w:suppressLineNumbers w:val="0"/>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szCs w:val="24"/>
                <w:lang w:val="en-US" w:eastAsia="zh-CN" w:bidi="ar"/>
              </w:rPr>
              <w:t>运营推广能力</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F387F12">
            <w:pPr>
              <w:keepNext w:val="0"/>
              <w:keepLines w:val="0"/>
              <w:widowControl/>
              <w:suppressLineNumbers w:val="0"/>
              <w:jc w:val="center"/>
              <w:rPr>
                <w:rFonts w:hint="default" w:ascii="仿宋_GB2312" w:hAnsi="宋体" w:eastAsia="仿宋_GB2312" w:cs="仿宋_GB2312"/>
                <w:color w:val="auto"/>
                <w:sz w:val="24"/>
                <w:lang w:val="en-US"/>
              </w:rPr>
            </w:pPr>
            <w:r>
              <w:rPr>
                <w:rFonts w:hint="eastAsia" w:ascii="仿宋_GB2312" w:hAnsi="宋体" w:eastAsia="仿宋_GB2312" w:cs="仿宋_GB2312"/>
                <w:color w:val="auto"/>
                <w:kern w:val="0"/>
                <w:sz w:val="24"/>
                <w:szCs w:val="24"/>
                <w:lang w:val="en-US" w:eastAsia="zh-CN" w:bidi="ar"/>
              </w:rPr>
              <w:t>20</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52B578E8">
            <w:pPr>
              <w:keepNext w:val="0"/>
              <w:keepLines w:val="0"/>
              <w:widowControl/>
              <w:suppressLineNumbers w:val="0"/>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szCs w:val="24"/>
                <w:lang w:val="en-US" w:eastAsia="zh-CN" w:bidi="ar"/>
              </w:rPr>
              <w:t>有完善的院内系统推广落地方案，具备患者端运营、健康服务包推广能力，有专业运营团队支撑，可配合医院开展慢病+专病患者管理运营。</w:t>
            </w:r>
            <w:r>
              <w:rPr>
                <w:rStyle w:val="22"/>
                <w:rFonts w:ascii="Segoe UI" w:hAnsi="Segoe UI" w:eastAsia="Segoe UI" w:cs="Segoe UI"/>
                <w:b/>
                <w:bCs/>
                <w:i w:val="0"/>
                <w:iCs w:val="0"/>
                <w:caps w:val="0"/>
                <w:color w:val="auto"/>
                <w:spacing w:val="0"/>
                <w:sz w:val="22"/>
                <w:szCs w:val="22"/>
                <w:shd w:val="clear" w:fill="FFFFFF"/>
              </w:rPr>
              <w:t>能够配合慢病管理中心开发推广中医药特色服务包。</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52933224">
            <w:pPr>
              <w:keepNext w:val="0"/>
              <w:keepLines w:val="0"/>
              <w:widowControl/>
              <w:suppressLineNumbers w:val="0"/>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szCs w:val="24"/>
                <w:lang w:val="en-US" w:eastAsia="zh-CN" w:bidi="ar"/>
              </w:rPr>
              <w:t>运营方案完善、团队专业、能全流程配合运营推广的得20分；方案一般但有基础运营能力的得10分；无运营方案/团队的不得分。</w:t>
            </w:r>
          </w:p>
        </w:tc>
      </w:tr>
      <w:tr w14:paraId="19B9735E">
        <w:tblPrEx>
          <w:tblCellMar>
            <w:top w:w="0" w:type="dxa"/>
            <w:left w:w="108" w:type="dxa"/>
            <w:bottom w:w="0" w:type="dxa"/>
            <w:right w:w="108" w:type="dxa"/>
          </w:tblCellMar>
        </w:tblPrEx>
        <w:trPr>
          <w:trHeight w:val="1009" w:hRule="atLeast"/>
        </w:trPr>
        <w:tc>
          <w:tcPr>
            <w:tcW w:w="355" w:type="dxa"/>
            <w:vMerge w:val="continue"/>
            <w:tcBorders>
              <w:top w:val="single" w:color="000000" w:sz="4" w:space="0"/>
              <w:left w:val="single" w:color="000000" w:sz="4" w:space="0"/>
              <w:bottom w:val="single" w:color="000000" w:sz="4" w:space="0"/>
              <w:right w:val="single" w:color="000000" w:sz="4" w:space="0"/>
            </w:tcBorders>
            <w:noWrap/>
            <w:vAlign w:val="center"/>
          </w:tcPr>
          <w:p w14:paraId="510B918A">
            <w:pPr>
              <w:jc w:val="left"/>
              <w:rPr>
                <w:rFonts w:ascii="仿宋_GB2312" w:hAnsi="宋体" w:eastAsia="仿宋_GB2312" w:cs="仿宋_GB2312"/>
                <w:sz w:val="24"/>
              </w:rPr>
            </w:pPr>
          </w:p>
        </w:tc>
        <w:tc>
          <w:tcPr>
            <w:tcW w:w="749" w:type="dxa"/>
            <w:vMerge w:val="continue"/>
            <w:tcBorders>
              <w:top w:val="single" w:color="000000" w:sz="4" w:space="0"/>
              <w:left w:val="nil"/>
              <w:bottom w:val="nil"/>
              <w:right w:val="single" w:color="000000" w:sz="4" w:space="0"/>
            </w:tcBorders>
            <w:noWrap w:val="0"/>
            <w:vAlign w:val="center"/>
          </w:tcPr>
          <w:p w14:paraId="5037C544">
            <w:pPr>
              <w:jc w:val="left"/>
              <w:rPr>
                <w:rFonts w:ascii="仿宋_GB2312" w:hAnsi="宋体" w:eastAsia="仿宋_GB2312" w:cs="仿宋_GB2312"/>
                <w:sz w:val="24"/>
              </w:rPr>
            </w:pPr>
          </w:p>
        </w:tc>
        <w:tc>
          <w:tcPr>
            <w:tcW w:w="761" w:type="dxa"/>
            <w:tcBorders>
              <w:top w:val="single" w:color="000000" w:sz="4" w:space="0"/>
              <w:left w:val="single" w:color="000000" w:sz="4" w:space="0"/>
              <w:bottom w:val="nil"/>
              <w:right w:val="single" w:color="000000" w:sz="4" w:space="0"/>
            </w:tcBorders>
            <w:noWrap w:val="0"/>
            <w:vAlign w:val="center"/>
          </w:tcPr>
          <w:p w14:paraId="179C6979">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本地化服务能力</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A258580">
            <w:pPr>
              <w:keepNext w:val="0"/>
              <w:keepLines w:val="0"/>
              <w:widowControl/>
              <w:suppressLineNumbers w:val="0"/>
              <w:jc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15</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42FDA8CE">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是否有本地驻场服务团队，应急保障能力，市区内技术支持上门响应时效，本地化服务网点布局。</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2E5CDDE5">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有本地驻场团队、市区内4小时上门响应、有完善应急保障的得 15 分；有本地化服务但响应时效不足的得10分；无本地化服务的不得分。</w:t>
            </w:r>
          </w:p>
        </w:tc>
      </w:tr>
      <w:tr w14:paraId="1B5C2D1B">
        <w:tblPrEx>
          <w:tblCellMar>
            <w:top w:w="0" w:type="dxa"/>
            <w:left w:w="108" w:type="dxa"/>
            <w:bottom w:w="0" w:type="dxa"/>
            <w:right w:w="108" w:type="dxa"/>
          </w:tblCellMar>
        </w:tblPrEx>
        <w:trPr>
          <w:trHeight w:val="1009" w:hRule="atLeast"/>
        </w:trPr>
        <w:tc>
          <w:tcPr>
            <w:tcW w:w="355" w:type="dxa"/>
            <w:vMerge w:val="restart"/>
            <w:tcBorders>
              <w:top w:val="single" w:color="000000" w:sz="4" w:space="0"/>
              <w:left w:val="single" w:color="000000" w:sz="4" w:space="0"/>
              <w:bottom w:val="single" w:color="000000" w:sz="4" w:space="0"/>
              <w:right w:val="single" w:color="000000" w:sz="4" w:space="0"/>
            </w:tcBorders>
            <w:noWrap/>
            <w:vAlign w:val="center"/>
          </w:tcPr>
          <w:p w14:paraId="2847D52B">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3</w:t>
            </w:r>
          </w:p>
        </w:tc>
        <w:tc>
          <w:tcPr>
            <w:tcW w:w="749" w:type="dxa"/>
            <w:vMerge w:val="restart"/>
            <w:tcBorders>
              <w:top w:val="single" w:color="000000" w:sz="4" w:space="0"/>
              <w:left w:val="nil"/>
              <w:bottom w:val="nil"/>
              <w:right w:val="single" w:color="000000" w:sz="4" w:space="0"/>
            </w:tcBorders>
            <w:noWrap w:val="0"/>
            <w:vAlign w:val="center"/>
          </w:tcPr>
          <w:p w14:paraId="06BD4E7D">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相关合作项目评价(20 分）</w:t>
            </w:r>
          </w:p>
        </w:tc>
        <w:tc>
          <w:tcPr>
            <w:tcW w:w="761" w:type="dxa"/>
            <w:tcBorders>
              <w:top w:val="single" w:color="000000" w:sz="4" w:space="0"/>
              <w:left w:val="single" w:color="000000" w:sz="4" w:space="0"/>
              <w:bottom w:val="nil"/>
              <w:right w:val="single" w:color="000000" w:sz="4" w:space="0"/>
            </w:tcBorders>
            <w:noWrap w:val="0"/>
            <w:vAlign w:val="center"/>
          </w:tcPr>
          <w:p w14:paraId="22003DFC">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运营情况</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3D2CF60">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5</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2B8C5DDB">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合作医疗机构的全病程管理系统实际运行情况，系统使用率、患者管理量等运营数据。</w:t>
            </w:r>
            <w:r>
              <w:rPr>
                <w:rStyle w:val="22"/>
                <w:rFonts w:ascii="Segoe UI" w:hAnsi="Segoe UI" w:eastAsia="Segoe UI" w:cs="Segoe UI"/>
                <w:b/>
                <w:bCs/>
                <w:i w:val="0"/>
                <w:iCs w:val="0"/>
                <w:caps w:val="0"/>
                <w:color w:val="0F1115"/>
                <w:spacing w:val="0"/>
                <w:sz w:val="22"/>
                <w:szCs w:val="22"/>
                <w:shd w:val="clear" w:fill="FFFFFF"/>
              </w:rPr>
              <w:t>重点关注系统对医院慢病管理中心七大职能的支撑情况，以及对绩效考核自动化的支持情况。</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3B582581">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能按医院要求高效运行、各项运营数据良好的得5分；效率一般、数据达标率不足80%的得2分；业务开展不畅、系统使用率低的不得分。</w:t>
            </w:r>
          </w:p>
        </w:tc>
      </w:tr>
      <w:tr w14:paraId="0425AC10">
        <w:tblPrEx>
          <w:tblCellMar>
            <w:top w:w="0" w:type="dxa"/>
            <w:left w:w="108" w:type="dxa"/>
            <w:bottom w:w="0" w:type="dxa"/>
            <w:right w:w="108" w:type="dxa"/>
          </w:tblCellMar>
        </w:tblPrEx>
        <w:trPr>
          <w:trHeight w:val="849" w:hRule="atLeast"/>
        </w:trPr>
        <w:tc>
          <w:tcPr>
            <w:tcW w:w="355" w:type="dxa"/>
            <w:vMerge w:val="continue"/>
            <w:tcBorders>
              <w:top w:val="single" w:color="000000" w:sz="4" w:space="0"/>
              <w:left w:val="single" w:color="000000" w:sz="4" w:space="0"/>
              <w:bottom w:val="single" w:color="000000" w:sz="4" w:space="0"/>
              <w:right w:val="single" w:color="000000" w:sz="4" w:space="0"/>
            </w:tcBorders>
            <w:noWrap/>
            <w:vAlign w:val="center"/>
          </w:tcPr>
          <w:p w14:paraId="0980B993">
            <w:pPr>
              <w:jc w:val="left"/>
              <w:rPr>
                <w:rFonts w:ascii="仿宋_GB2312" w:hAnsi="宋体" w:eastAsia="仿宋_GB2312" w:cs="仿宋_GB2312"/>
                <w:sz w:val="24"/>
              </w:rPr>
            </w:pPr>
          </w:p>
        </w:tc>
        <w:tc>
          <w:tcPr>
            <w:tcW w:w="749" w:type="dxa"/>
            <w:vMerge w:val="continue"/>
            <w:tcBorders>
              <w:top w:val="single" w:color="000000" w:sz="4" w:space="0"/>
              <w:left w:val="nil"/>
              <w:bottom w:val="nil"/>
              <w:right w:val="single" w:color="000000" w:sz="4" w:space="0"/>
            </w:tcBorders>
            <w:noWrap w:val="0"/>
            <w:vAlign w:val="center"/>
          </w:tcPr>
          <w:p w14:paraId="40D250E8">
            <w:pPr>
              <w:jc w:val="left"/>
              <w:rPr>
                <w:rFonts w:ascii="仿宋_GB2312" w:hAnsi="宋体" w:eastAsia="仿宋_GB2312" w:cs="仿宋_GB2312"/>
                <w:sz w:val="24"/>
              </w:rPr>
            </w:pPr>
          </w:p>
        </w:tc>
        <w:tc>
          <w:tcPr>
            <w:tcW w:w="761" w:type="dxa"/>
            <w:tcBorders>
              <w:top w:val="single" w:color="000000" w:sz="4" w:space="0"/>
              <w:left w:val="single" w:color="000000" w:sz="4" w:space="0"/>
              <w:bottom w:val="nil"/>
              <w:right w:val="single" w:color="000000" w:sz="4" w:space="0"/>
            </w:tcBorders>
            <w:noWrap w:val="0"/>
            <w:vAlign w:val="center"/>
          </w:tcPr>
          <w:p w14:paraId="6219AD0D">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质量方面</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AC7AED3">
            <w:pPr>
              <w:keepNext w:val="0"/>
              <w:keepLines w:val="0"/>
              <w:widowControl/>
              <w:suppressLineNumbers w:val="0"/>
              <w:jc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5</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0855C4E3">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合作项目的系统稳定性、功能完整性，是否满足医疗行业信息化建设标准及数据安全规范。</w:t>
            </w:r>
            <w:r>
              <w:rPr>
                <w:rStyle w:val="22"/>
                <w:rFonts w:ascii="Segoe UI" w:hAnsi="Segoe UI" w:eastAsia="Segoe UI" w:cs="Segoe UI"/>
                <w:b/>
                <w:bCs/>
                <w:i w:val="0"/>
                <w:iCs w:val="0"/>
                <w:caps w:val="0"/>
                <w:color w:val="0F1115"/>
                <w:spacing w:val="0"/>
                <w:sz w:val="22"/>
                <w:szCs w:val="22"/>
                <w:shd w:val="clear" w:fill="FFFFFF"/>
              </w:rPr>
              <w:t>重点关注是否支持“双人复核制”、“红黄绿”分级随访等功能。</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279AA68E">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系统稳定、功能完整且完全符合行业标准及规范的得5分；存在功能缺失或合规性不足的不得分。</w:t>
            </w:r>
          </w:p>
        </w:tc>
      </w:tr>
      <w:tr w14:paraId="01522D42">
        <w:tblPrEx>
          <w:tblCellMar>
            <w:top w:w="0" w:type="dxa"/>
            <w:left w:w="108" w:type="dxa"/>
            <w:bottom w:w="0" w:type="dxa"/>
            <w:right w:w="108" w:type="dxa"/>
          </w:tblCellMar>
        </w:tblPrEx>
        <w:trPr>
          <w:trHeight w:val="295" w:hRule="atLeast"/>
        </w:trPr>
        <w:tc>
          <w:tcPr>
            <w:tcW w:w="355" w:type="dxa"/>
            <w:vMerge w:val="continue"/>
            <w:tcBorders>
              <w:top w:val="single" w:color="000000" w:sz="4" w:space="0"/>
              <w:left w:val="single" w:color="000000" w:sz="4" w:space="0"/>
              <w:bottom w:val="single" w:color="000000" w:sz="4" w:space="0"/>
              <w:right w:val="single" w:color="000000" w:sz="4" w:space="0"/>
            </w:tcBorders>
            <w:noWrap/>
            <w:vAlign w:val="center"/>
          </w:tcPr>
          <w:p w14:paraId="58D03878">
            <w:pPr>
              <w:jc w:val="left"/>
              <w:rPr>
                <w:rFonts w:ascii="仿宋_GB2312" w:hAnsi="宋体" w:eastAsia="仿宋_GB2312" w:cs="仿宋_GB2312"/>
                <w:sz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0375911A">
            <w:pPr>
              <w:jc w:val="left"/>
            </w:pP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320DAB0F">
            <w:pPr>
              <w:keepNext w:val="0"/>
              <w:keepLines w:val="0"/>
              <w:widowControl/>
              <w:suppressLineNumbers w:val="0"/>
              <w:jc w:val="left"/>
            </w:pPr>
            <w:r>
              <w:rPr>
                <w:rFonts w:hint="eastAsia" w:ascii="仿宋_GB2312" w:hAnsi="宋体" w:eastAsia="仿宋_GB2312" w:cs="仿宋_GB2312"/>
                <w:kern w:val="0"/>
                <w:sz w:val="24"/>
                <w:szCs w:val="24"/>
                <w:lang w:val="en-US" w:eastAsia="zh-CN" w:bidi="ar"/>
              </w:rPr>
              <w:t>故障处理</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B7ACBA0">
            <w:pPr>
              <w:keepNext w:val="0"/>
              <w:keepLines w:val="0"/>
              <w:widowControl/>
              <w:suppressLineNumbers w:val="0"/>
              <w:jc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5</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4E860A7C">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合作期间系统设备、软件出现故障的响应及解决效率，问题处理闭环情况。</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4952E4DE">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小问题2小时内解决、大问题4 小时内解决且形成处理闭环的得5分；超时解决或未闭环处理的不得分。</w:t>
            </w:r>
          </w:p>
        </w:tc>
      </w:tr>
      <w:tr w14:paraId="3B287B50">
        <w:tblPrEx>
          <w:tblCellMar>
            <w:top w:w="0" w:type="dxa"/>
            <w:left w:w="108" w:type="dxa"/>
            <w:bottom w:w="0" w:type="dxa"/>
            <w:right w:w="108" w:type="dxa"/>
          </w:tblCellMar>
        </w:tblPrEx>
        <w:trPr>
          <w:trHeight w:val="697" w:hRule="atLeast"/>
        </w:trPr>
        <w:tc>
          <w:tcPr>
            <w:tcW w:w="355" w:type="dxa"/>
            <w:vMerge w:val="continue"/>
            <w:tcBorders>
              <w:top w:val="single" w:color="000000" w:sz="4" w:space="0"/>
              <w:left w:val="single" w:color="000000" w:sz="4" w:space="0"/>
              <w:bottom w:val="single" w:color="000000" w:sz="4" w:space="0"/>
              <w:right w:val="single" w:color="000000" w:sz="4" w:space="0"/>
            </w:tcBorders>
            <w:noWrap/>
            <w:vAlign w:val="center"/>
          </w:tcPr>
          <w:p w14:paraId="0D85E237">
            <w:pPr>
              <w:jc w:val="left"/>
              <w:rPr>
                <w:rFonts w:ascii="仿宋_GB2312" w:hAnsi="宋体" w:eastAsia="仿宋_GB2312" w:cs="仿宋_GB2312"/>
                <w:sz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383588E9">
            <w:pPr>
              <w:jc w:val="left"/>
            </w:pP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43BD407A">
            <w:pPr>
              <w:keepNext w:val="0"/>
              <w:keepLines w:val="0"/>
              <w:widowControl/>
              <w:suppressLineNumbers w:val="0"/>
              <w:jc w:val="left"/>
            </w:pPr>
            <w:r>
              <w:rPr>
                <w:rFonts w:hint="eastAsia" w:ascii="仿宋_GB2312" w:hAnsi="宋体" w:eastAsia="仿宋_GB2312" w:cs="仿宋_GB2312"/>
                <w:kern w:val="0"/>
                <w:sz w:val="24"/>
                <w:szCs w:val="24"/>
                <w:lang w:val="en-US" w:eastAsia="zh-CN" w:bidi="ar"/>
              </w:rPr>
              <w:t>满意度</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3075F63">
            <w:pPr>
              <w:keepNext w:val="0"/>
              <w:keepLines w:val="0"/>
              <w:widowControl/>
              <w:suppressLineNumbers w:val="0"/>
              <w:jc w:val="center"/>
            </w:pPr>
            <w:r>
              <w:rPr>
                <w:rFonts w:hint="eastAsia" w:ascii="仿宋_GB2312" w:hAnsi="宋体" w:eastAsia="仿宋_GB2312" w:cs="仿宋_GB2312"/>
                <w:kern w:val="0"/>
                <w:sz w:val="24"/>
                <w:szCs w:val="24"/>
                <w:lang w:val="en-US" w:eastAsia="zh-CN" w:bidi="ar"/>
              </w:rPr>
              <w:t>5</w:t>
            </w:r>
          </w:p>
        </w:tc>
        <w:tc>
          <w:tcPr>
            <w:tcW w:w="6258" w:type="dxa"/>
            <w:tcBorders>
              <w:top w:val="single" w:color="000000" w:sz="4" w:space="0"/>
              <w:left w:val="single" w:color="000000" w:sz="4" w:space="0"/>
              <w:bottom w:val="single" w:color="000000" w:sz="4" w:space="0"/>
              <w:right w:val="single" w:color="000000" w:sz="4" w:space="0"/>
            </w:tcBorders>
            <w:noWrap/>
            <w:vAlign w:val="center"/>
          </w:tcPr>
          <w:p w14:paraId="5A64943F">
            <w:pPr>
              <w:keepNext w:val="0"/>
              <w:keepLines w:val="0"/>
              <w:widowControl/>
              <w:suppressLineNumbers w:val="0"/>
              <w:jc w:val="left"/>
            </w:pPr>
            <w:r>
              <w:rPr>
                <w:rFonts w:hint="eastAsia" w:ascii="仿宋_GB2312" w:hAnsi="宋体" w:eastAsia="仿宋_GB2312" w:cs="仿宋_GB2312"/>
                <w:kern w:val="0"/>
                <w:sz w:val="24"/>
                <w:szCs w:val="24"/>
                <w:lang w:val="en-US" w:eastAsia="zh-CN" w:bidi="ar"/>
              </w:rPr>
              <w:t>合作医疗机构对服务团队、技术支持、运营配合等方面的整体评价。</w:t>
            </w:r>
            <w:r>
              <w:rPr>
                <w:rStyle w:val="22"/>
                <w:rFonts w:ascii="Segoe UI" w:hAnsi="Segoe UI" w:eastAsia="Segoe UI" w:cs="Segoe UI"/>
                <w:b/>
                <w:bCs/>
                <w:i w:val="0"/>
                <w:iCs w:val="0"/>
                <w:caps w:val="0"/>
                <w:color w:val="0F1115"/>
                <w:spacing w:val="0"/>
                <w:sz w:val="22"/>
                <w:szCs w:val="22"/>
                <w:shd w:val="clear" w:fill="FFFFFF"/>
              </w:rPr>
              <w:t>特别关注对系统支撑绩效考核、服务包推广等方面的评价。</w:t>
            </w:r>
          </w:p>
        </w:tc>
        <w:tc>
          <w:tcPr>
            <w:tcW w:w="5054" w:type="dxa"/>
            <w:tcBorders>
              <w:top w:val="single" w:color="000000" w:sz="4" w:space="0"/>
              <w:left w:val="single" w:color="000000" w:sz="4" w:space="0"/>
              <w:bottom w:val="single" w:color="000000" w:sz="4" w:space="0"/>
              <w:right w:val="single" w:color="000000" w:sz="4" w:space="0"/>
            </w:tcBorders>
            <w:noWrap/>
            <w:vAlign w:val="center"/>
          </w:tcPr>
          <w:p w14:paraId="39FE7DF3">
            <w:pPr>
              <w:keepNext w:val="0"/>
              <w:keepLines w:val="0"/>
              <w:widowControl/>
              <w:suppressLineNumbers w:val="0"/>
              <w:jc w:val="left"/>
            </w:pPr>
            <w:r>
              <w:rPr>
                <w:rFonts w:hint="eastAsia" w:ascii="仿宋_GB2312" w:hAnsi="宋体" w:eastAsia="仿宋_GB2312" w:cs="仿宋_GB2312"/>
                <w:kern w:val="0"/>
                <w:sz w:val="24"/>
                <w:szCs w:val="24"/>
                <w:lang w:val="en-US" w:eastAsia="zh-CN" w:bidi="ar"/>
              </w:rPr>
              <w:t>合作医院非常满意的得5分，评价一般的得2分，存在投诉或不满意的不得分。</w:t>
            </w:r>
          </w:p>
        </w:tc>
      </w:tr>
      <w:tr w14:paraId="419D1AFC">
        <w:tblPrEx>
          <w:tblCellMar>
            <w:top w:w="0" w:type="dxa"/>
            <w:left w:w="108" w:type="dxa"/>
            <w:bottom w:w="0" w:type="dxa"/>
            <w:right w:w="108" w:type="dxa"/>
          </w:tblCellMar>
        </w:tblPrEx>
        <w:trPr>
          <w:trHeight w:val="697" w:hRule="atLeast"/>
        </w:trPr>
        <w:tc>
          <w:tcPr>
            <w:tcW w:w="2640" w:type="dxa"/>
            <w:gridSpan w:val="4"/>
            <w:tcBorders>
              <w:top w:val="single" w:color="000000" w:sz="4" w:space="0"/>
              <w:left w:val="single" w:color="000000" w:sz="4" w:space="0"/>
              <w:bottom w:val="single" w:color="000000" w:sz="4" w:space="0"/>
              <w:right w:val="single" w:color="000000" w:sz="4" w:space="0"/>
            </w:tcBorders>
            <w:noWrap/>
            <w:vAlign w:val="center"/>
          </w:tcPr>
          <w:p w14:paraId="0455C65F">
            <w:pPr>
              <w:keepNext w:val="0"/>
              <w:keepLines w:val="0"/>
              <w:widowControl/>
              <w:suppressLineNumbers w:val="0"/>
              <w:jc w:val="center"/>
              <w:rPr>
                <w:rFonts w:hint="default"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合计</w:t>
            </w:r>
          </w:p>
        </w:tc>
        <w:tc>
          <w:tcPr>
            <w:tcW w:w="11312" w:type="dxa"/>
            <w:gridSpan w:val="2"/>
            <w:tcBorders>
              <w:top w:val="single" w:color="000000" w:sz="4" w:space="0"/>
              <w:left w:val="single" w:color="000000" w:sz="4" w:space="0"/>
              <w:bottom w:val="single" w:color="000000" w:sz="4" w:space="0"/>
              <w:right w:val="single" w:color="000000" w:sz="4" w:space="0"/>
            </w:tcBorders>
            <w:noWrap/>
            <w:vAlign w:val="center"/>
          </w:tcPr>
          <w:p w14:paraId="1D9C1D96">
            <w:pPr>
              <w:keepNext w:val="0"/>
              <w:keepLines w:val="0"/>
              <w:widowControl/>
              <w:suppressLineNumbers w:val="0"/>
              <w:jc w:val="left"/>
              <w:rPr>
                <w:rFonts w:hint="default"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100</w:t>
            </w:r>
          </w:p>
        </w:tc>
      </w:tr>
      <w:tr w14:paraId="1FBF89ED">
        <w:tblPrEx>
          <w:tblCellMar>
            <w:top w:w="0" w:type="dxa"/>
            <w:left w:w="108" w:type="dxa"/>
            <w:bottom w:w="0" w:type="dxa"/>
            <w:right w:w="108" w:type="dxa"/>
          </w:tblCellMar>
        </w:tblPrEx>
        <w:trPr>
          <w:trHeight w:val="697" w:hRule="atLeast"/>
        </w:trPr>
        <w:tc>
          <w:tcPr>
            <w:tcW w:w="13952" w:type="dxa"/>
            <w:gridSpan w:val="6"/>
            <w:tcBorders>
              <w:top w:val="single" w:color="000000" w:sz="4" w:space="0"/>
              <w:left w:val="single" w:color="000000" w:sz="4" w:space="0"/>
              <w:bottom w:val="single" w:color="000000" w:sz="4" w:space="0"/>
              <w:right w:val="single" w:color="000000" w:sz="4" w:space="0"/>
            </w:tcBorders>
            <w:noWrap/>
            <w:vAlign w:val="center"/>
          </w:tcPr>
          <w:p w14:paraId="4D92A4AE">
            <w:pPr>
              <w:keepNext w:val="0"/>
              <w:keepLines w:val="0"/>
              <w:widowControl/>
              <w:suppressLineNumbers w:val="0"/>
              <w:jc w:val="left"/>
              <w:rPr>
                <w:rFonts w:hint="eastAsia" w:ascii="仿宋_GB2312" w:hAnsi="宋体" w:eastAsia="仿宋_GB2312" w:cs="仿宋_GB2312"/>
                <w:kern w:val="0"/>
                <w:sz w:val="24"/>
                <w:szCs w:val="24"/>
                <w:lang w:val="en-US" w:eastAsia="zh-CN" w:bidi="ar"/>
              </w:rPr>
            </w:pPr>
            <w:r>
              <w:rPr>
                <w:rFonts w:hint="eastAsia" w:ascii="等线" w:hAnsi="等线" w:eastAsia="等线" w:cs="等线"/>
                <w:b/>
                <w:bCs/>
                <w:i w:val="0"/>
                <w:iCs w:val="0"/>
                <w:color w:val="000000"/>
                <w:kern w:val="0"/>
                <w:sz w:val="22"/>
                <w:szCs w:val="22"/>
                <w:u w:val="none"/>
                <w:lang w:val="en-US" w:eastAsia="zh-CN" w:bidi="ar"/>
              </w:rPr>
              <w:t>备注：各单位应按照以上内容对评分表中每一项评分指标逐一进行响应，评分项中需提供现场演示、案例证明、资质文件、响应承诺以及合作项目单位对供应商的评价等佐证材料，无佐证的按最低分或不得分处理。提供的佐证材料应加盖公章</w:t>
            </w:r>
            <w:r>
              <w:rPr>
                <w:rFonts w:hint="eastAsia" w:ascii="仿宋_GB2312" w:hAnsi="宋体" w:eastAsia="仿宋_GB2312" w:cs="仿宋_GB2312"/>
                <w:b/>
                <w:bCs/>
                <w:kern w:val="0"/>
                <w:sz w:val="24"/>
                <w:szCs w:val="24"/>
                <w:lang w:val="en-US" w:eastAsia="zh-CN" w:bidi="ar"/>
              </w:rPr>
              <w:t>。</w:t>
            </w:r>
          </w:p>
        </w:tc>
      </w:tr>
    </w:tbl>
    <w:p w14:paraId="24A47D47">
      <w:pPr>
        <w:rPr>
          <w:color w:val="0000FF"/>
        </w:rPr>
      </w:pPr>
    </w:p>
    <w:sectPr>
      <w:pgSz w:w="16838" w:h="11906" w:orient="landscape"/>
      <w:pgMar w:top="1531" w:right="1440" w:bottom="1361" w:left="1440"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53A859-200A-4AFC-AE36-E497E8C1FD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A0DEEF9-D00F-438C-83AA-B7ADCE7EBA2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BACE697-77D7-4E61-9B6B-E240D7979588}"/>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embedRegular r:id="rId4" w:fontKey="{ED821FC2-6B5C-4E38-9259-C5DC3C42FA71}"/>
  </w:font>
  <w:font w:name="楷体_GB2312">
    <w:panose1 w:val="02010609030101010101"/>
    <w:charset w:val="86"/>
    <w:family w:val="modern"/>
    <w:pitch w:val="default"/>
    <w:sig w:usb0="00000001" w:usb1="080E0000" w:usb2="00000000" w:usb3="00000000" w:csb0="00040000" w:csb1="00000000"/>
    <w:embedRegular r:id="rId5" w:fontKey="{83B49C44-3A3E-4671-8CC3-19EB815B83AC}"/>
  </w:font>
  <w:font w:name="等线">
    <w:panose1 w:val="02010600030101010101"/>
    <w:charset w:val="86"/>
    <w:family w:val="auto"/>
    <w:pitch w:val="default"/>
    <w:sig w:usb0="A00002BF" w:usb1="38CF7CFA" w:usb2="00000016" w:usb3="00000000" w:csb0="0004000F" w:csb1="00000000"/>
    <w:embedRegular r:id="rId6" w:fontKey="{2A814F93-87F5-49DF-A1C3-11898D2C8D99}"/>
  </w:font>
  <w:font w:name="Segoe UI">
    <w:panose1 w:val="020B0502040204020203"/>
    <w:charset w:val="00"/>
    <w:family w:val="auto"/>
    <w:pitch w:val="default"/>
    <w:sig w:usb0="E4002EFF" w:usb1="C000E47F" w:usb2="00000009" w:usb3="00000000" w:csb0="200001FF" w:csb1="00000000"/>
    <w:embedRegular r:id="rId7" w:fontKey="{AEB20124-C3E2-4B24-9BCF-3630F727AD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8C5A">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B7BD13">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9B7BD13">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7"/>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YWM4NzI4ZmIxYzMyZWJlZGE4N2YyODhlMmViNDQifQ=="/>
  </w:docVars>
  <w:rsids>
    <w:rsidRoot w:val="003A69E0"/>
    <w:rsid w:val="000032AC"/>
    <w:rsid w:val="000052C7"/>
    <w:rsid w:val="000D6586"/>
    <w:rsid w:val="001A0ADB"/>
    <w:rsid w:val="00206AA9"/>
    <w:rsid w:val="002D50BB"/>
    <w:rsid w:val="00363951"/>
    <w:rsid w:val="003A419B"/>
    <w:rsid w:val="003A5FF5"/>
    <w:rsid w:val="003A69E0"/>
    <w:rsid w:val="003C265A"/>
    <w:rsid w:val="003F59C4"/>
    <w:rsid w:val="003F6DF9"/>
    <w:rsid w:val="003F7168"/>
    <w:rsid w:val="0040250E"/>
    <w:rsid w:val="00475C59"/>
    <w:rsid w:val="00495752"/>
    <w:rsid w:val="00551CD8"/>
    <w:rsid w:val="005B4C77"/>
    <w:rsid w:val="005F1682"/>
    <w:rsid w:val="006135A0"/>
    <w:rsid w:val="00614F33"/>
    <w:rsid w:val="006972F3"/>
    <w:rsid w:val="006D31B9"/>
    <w:rsid w:val="00704E5D"/>
    <w:rsid w:val="007D2D45"/>
    <w:rsid w:val="007F30DF"/>
    <w:rsid w:val="0087689F"/>
    <w:rsid w:val="00884411"/>
    <w:rsid w:val="00A56762"/>
    <w:rsid w:val="00AB11AF"/>
    <w:rsid w:val="00B57452"/>
    <w:rsid w:val="00B830A2"/>
    <w:rsid w:val="00BA4003"/>
    <w:rsid w:val="00BB1C60"/>
    <w:rsid w:val="00BB1CC3"/>
    <w:rsid w:val="00BC0212"/>
    <w:rsid w:val="00CF6860"/>
    <w:rsid w:val="00D2040E"/>
    <w:rsid w:val="00D209D3"/>
    <w:rsid w:val="00DE04B3"/>
    <w:rsid w:val="00E7177E"/>
    <w:rsid w:val="00F669D6"/>
    <w:rsid w:val="00FE3E6C"/>
    <w:rsid w:val="00FF2698"/>
    <w:rsid w:val="027653BD"/>
    <w:rsid w:val="02D76631"/>
    <w:rsid w:val="039B3DC0"/>
    <w:rsid w:val="05DD06BF"/>
    <w:rsid w:val="06071298"/>
    <w:rsid w:val="06AB633C"/>
    <w:rsid w:val="073562D9"/>
    <w:rsid w:val="07440AD9"/>
    <w:rsid w:val="0856072B"/>
    <w:rsid w:val="092E480E"/>
    <w:rsid w:val="0AA3524B"/>
    <w:rsid w:val="0AFC29D3"/>
    <w:rsid w:val="0B8F08F0"/>
    <w:rsid w:val="0C23034C"/>
    <w:rsid w:val="10E414E5"/>
    <w:rsid w:val="11B247F8"/>
    <w:rsid w:val="125E7D6E"/>
    <w:rsid w:val="12A34CBE"/>
    <w:rsid w:val="13391E64"/>
    <w:rsid w:val="13BF610A"/>
    <w:rsid w:val="13FA243C"/>
    <w:rsid w:val="145C3BF8"/>
    <w:rsid w:val="14A26034"/>
    <w:rsid w:val="14C1100B"/>
    <w:rsid w:val="16021FE9"/>
    <w:rsid w:val="175A3AB3"/>
    <w:rsid w:val="17CD1C16"/>
    <w:rsid w:val="19880E9D"/>
    <w:rsid w:val="19BA35E6"/>
    <w:rsid w:val="1A5D0D39"/>
    <w:rsid w:val="1AB42A2B"/>
    <w:rsid w:val="1AC96CA9"/>
    <w:rsid w:val="1CA17276"/>
    <w:rsid w:val="1CFB79D4"/>
    <w:rsid w:val="1D951428"/>
    <w:rsid w:val="1E27655B"/>
    <w:rsid w:val="1F306502"/>
    <w:rsid w:val="1F452947"/>
    <w:rsid w:val="1F7A08D5"/>
    <w:rsid w:val="1F94269B"/>
    <w:rsid w:val="1F953961"/>
    <w:rsid w:val="203E7B55"/>
    <w:rsid w:val="20D84603"/>
    <w:rsid w:val="22910ECC"/>
    <w:rsid w:val="2306318E"/>
    <w:rsid w:val="231F086A"/>
    <w:rsid w:val="236F250E"/>
    <w:rsid w:val="24373239"/>
    <w:rsid w:val="24713535"/>
    <w:rsid w:val="24832558"/>
    <w:rsid w:val="24B6761D"/>
    <w:rsid w:val="253A2CC9"/>
    <w:rsid w:val="25BE0427"/>
    <w:rsid w:val="271138CD"/>
    <w:rsid w:val="273250FD"/>
    <w:rsid w:val="27932534"/>
    <w:rsid w:val="27A71902"/>
    <w:rsid w:val="28D24097"/>
    <w:rsid w:val="29CC64A0"/>
    <w:rsid w:val="2AF05EF0"/>
    <w:rsid w:val="2B930E90"/>
    <w:rsid w:val="2D334D05"/>
    <w:rsid w:val="2DF67CC1"/>
    <w:rsid w:val="2EFF2952"/>
    <w:rsid w:val="2F713AA3"/>
    <w:rsid w:val="30BA6D53"/>
    <w:rsid w:val="327C7B0A"/>
    <w:rsid w:val="32A65583"/>
    <w:rsid w:val="34354344"/>
    <w:rsid w:val="348B30AE"/>
    <w:rsid w:val="37B704C1"/>
    <w:rsid w:val="3801567D"/>
    <w:rsid w:val="384855BD"/>
    <w:rsid w:val="389E51DD"/>
    <w:rsid w:val="3915626B"/>
    <w:rsid w:val="3A4552C9"/>
    <w:rsid w:val="3A4F49E1"/>
    <w:rsid w:val="3AD969A0"/>
    <w:rsid w:val="3AFB054B"/>
    <w:rsid w:val="3B3F0B58"/>
    <w:rsid w:val="3BDB0F21"/>
    <w:rsid w:val="3BFD5DEC"/>
    <w:rsid w:val="3D7A6218"/>
    <w:rsid w:val="3E666A1A"/>
    <w:rsid w:val="3E7B7B93"/>
    <w:rsid w:val="3F771E81"/>
    <w:rsid w:val="405E03F1"/>
    <w:rsid w:val="41387295"/>
    <w:rsid w:val="415B7AF2"/>
    <w:rsid w:val="419E545D"/>
    <w:rsid w:val="424F5510"/>
    <w:rsid w:val="43B90003"/>
    <w:rsid w:val="45091972"/>
    <w:rsid w:val="45B0247B"/>
    <w:rsid w:val="45B1505C"/>
    <w:rsid w:val="470C20C9"/>
    <w:rsid w:val="47A92A27"/>
    <w:rsid w:val="480E5EDB"/>
    <w:rsid w:val="48E52C77"/>
    <w:rsid w:val="490B5F77"/>
    <w:rsid w:val="49D405C7"/>
    <w:rsid w:val="49DA39A7"/>
    <w:rsid w:val="49E15386"/>
    <w:rsid w:val="4BBD335E"/>
    <w:rsid w:val="4D0A0CFE"/>
    <w:rsid w:val="4D205520"/>
    <w:rsid w:val="4D3B464F"/>
    <w:rsid w:val="4D5817FD"/>
    <w:rsid w:val="4DEB42A3"/>
    <w:rsid w:val="4E461F58"/>
    <w:rsid w:val="4F133A9A"/>
    <w:rsid w:val="50A80B97"/>
    <w:rsid w:val="51AD267E"/>
    <w:rsid w:val="51E25B32"/>
    <w:rsid w:val="5369722F"/>
    <w:rsid w:val="559E0172"/>
    <w:rsid w:val="56124737"/>
    <w:rsid w:val="56246877"/>
    <w:rsid w:val="563A4B64"/>
    <w:rsid w:val="56D402F0"/>
    <w:rsid w:val="56E66275"/>
    <w:rsid w:val="570021F2"/>
    <w:rsid w:val="570F0D20"/>
    <w:rsid w:val="57F66EAC"/>
    <w:rsid w:val="57FE0B88"/>
    <w:rsid w:val="5807094B"/>
    <w:rsid w:val="59E24AD2"/>
    <w:rsid w:val="5B750142"/>
    <w:rsid w:val="5BAC017D"/>
    <w:rsid w:val="5C1B2CB0"/>
    <w:rsid w:val="5C725B62"/>
    <w:rsid w:val="608F7EAC"/>
    <w:rsid w:val="618F19E3"/>
    <w:rsid w:val="62365848"/>
    <w:rsid w:val="62685D57"/>
    <w:rsid w:val="63464323"/>
    <w:rsid w:val="64645D78"/>
    <w:rsid w:val="64CF0348"/>
    <w:rsid w:val="654C7BEB"/>
    <w:rsid w:val="65AB2A81"/>
    <w:rsid w:val="68701E42"/>
    <w:rsid w:val="69EF48E7"/>
    <w:rsid w:val="69FD0520"/>
    <w:rsid w:val="6A59597F"/>
    <w:rsid w:val="6C231BAE"/>
    <w:rsid w:val="6E2E7E6F"/>
    <w:rsid w:val="6E9771B9"/>
    <w:rsid w:val="6F8C7C57"/>
    <w:rsid w:val="70096E04"/>
    <w:rsid w:val="70BB2335"/>
    <w:rsid w:val="70EB0B71"/>
    <w:rsid w:val="73DE0DCC"/>
    <w:rsid w:val="745377B9"/>
    <w:rsid w:val="745A21E7"/>
    <w:rsid w:val="75C571C5"/>
    <w:rsid w:val="75CB72CD"/>
    <w:rsid w:val="75F25F1C"/>
    <w:rsid w:val="77F43418"/>
    <w:rsid w:val="79D044EF"/>
    <w:rsid w:val="79DB60AD"/>
    <w:rsid w:val="7A2833D5"/>
    <w:rsid w:val="7A645D22"/>
    <w:rsid w:val="7B4E6013"/>
    <w:rsid w:val="7CF41DA9"/>
    <w:rsid w:val="7D8A6028"/>
    <w:rsid w:val="7E061D45"/>
    <w:rsid w:val="7F0E1062"/>
    <w:rsid w:val="7F55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annotation text"/>
    <w:basedOn w:val="1"/>
    <w:qFormat/>
    <w:uiPriority w:val="99"/>
    <w:pPr>
      <w:jc w:val="left"/>
    </w:pPr>
  </w:style>
  <w:style w:type="paragraph" w:styleId="5">
    <w:name w:val="Salutation"/>
    <w:basedOn w:val="1"/>
    <w:next w:val="1"/>
    <w:qFormat/>
    <w:uiPriority w:val="99"/>
    <w:rPr>
      <w:rFonts w:ascii="Calibri" w:hAnsi="Calibri" w:eastAsia="仿宋"/>
      <w:sz w:val="32"/>
    </w:rPr>
  </w:style>
  <w:style w:type="paragraph" w:styleId="6">
    <w:name w:val="Body Text"/>
    <w:basedOn w:val="1"/>
    <w:next w:val="7"/>
    <w:qFormat/>
    <w:uiPriority w:val="99"/>
    <w:pPr>
      <w:spacing w:after="120"/>
    </w:pPr>
  </w:style>
  <w:style w:type="paragraph" w:styleId="7">
    <w:name w:val="Body Text First Indent"/>
    <w:basedOn w:val="6"/>
    <w:qFormat/>
    <w:uiPriority w:val="99"/>
    <w:pPr>
      <w:ind w:firstLine="420" w:firstLineChars="100"/>
    </w:pPr>
  </w:style>
  <w:style w:type="paragraph" w:styleId="8">
    <w:name w:val="Body Text Indent"/>
    <w:basedOn w:val="1"/>
    <w:qFormat/>
    <w:uiPriority w:val="0"/>
    <w:pPr>
      <w:spacing w:line="640" w:lineRule="exact"/>
      <w:ind w:firstLine="573"/>
    </w:pPr>
    <w:rPr>
      <w:rFonts w:ascii="宋体"/>
      <w:sz w:val="28"/>
    </w:rPr>
  </w:style>
  <w:style w:type="paragraph" w:styleId="9">
    <w:name w:val="Plain Text"/>
    <w:basedOn w:val="1"/>
    <w:qFormat/>
    <w:uiPriority w:val="0"/>
    <w:rPr>
      <w:rFonts w:hint="eastAsia" w:ascii="宋体" w:hAnsi="Courier New" w:cs="Courier New"/>
      <w:spacing w:val="10"/>
      <w:szCs w:val="21"/>
    </w:rPr>
  </w:style>
  <w:style w:type="paragraph" w:styleId="10">
    <w:name w:val="Balloon Text"/>
    <w:basedOn w:val="1"/>
    <w:link w:val="3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able of figures"/>
    <w:basedOn w:val="1"/>
    <w:next w:val="1"/>
    <w:qFormat/>
    <w:uiPriority w:val="0"/>
    <w:pPr>
      <w:ind w:left="200" w:leftChars="200" w:hanging="200" w:hangingChars="200"/>
    </w:pPr>
    <w:rPr>
      <w:sz w:val="32"/>
    </w:rPr>
  </w:style>
  <w:style w:type="paragraph" w:styleId="15">
    <w:name w:val="Body Text 2"/>
    <w:basedOn w:val="1"/>
    <w:qFormat/>
    <w:uiPriority w:val="0"/>
    <w:rPr>
      <w:rFonts w:ascii="仿宋_GB2312" w:eastAsia="仿宋_GB2312"/>
      <w:b/>
      <w:bCs/>
      <w:sz w:val="44"/>
      <w:szCs w:val="2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480" w:after="300"/>
      <w:jc w:val="left"/>
      <w:outlineLvl w:val="0"/>
    </w:pPr>
    <w:rPr>
      <w:rFonts w:ascii="Cambria" w:hAnsi="Cambria" w:eastAsia="仿宋"/>
      <w:b/>
      <w:bCs/>
      <w:sz w:val="32"/>
      <w:szCs w:val="32"/>
    </w:rPr>
  </w:style>
  <w:style w:type="paragraph" w:styleId="18">
    <w:name w:val="Body Text First Indent 2"/>
    <w:basedOn w:val="8"/>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annotation reference"/>
    <w:basedOn w:val="21"/>
    <w:qFormat/>
    <w:uiPriority w:val="0"/>
    <w:rPr>
      <w:sz w:val="21"/>
      <w:szCs w:val="21"/>
    </w:rPr>
  </w:style>
  <w:style w:type="paragraph" w:customStyle="1" w:styleId="2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6">
    <w:name w:val="Table of Figures1"/>
    <w:basedOn w:val="1"/>
    <w:next w:val="1"/>
    <w:qFormat/>
    <w:uiPriority w:val="99"/>
    <w:pPr>
      <w:ind w:left="200" w:leftChars="200" w:hanging="200" w:hangingChars="200"/>
    </w:pPr>
  </w:style>
  <w:style w:type="paragraph" w:customStyle="1" w:styleId="27">
    <w:name w:val="普通(网站)1"/>
    <w:basedOn w:val="1"/>
    <w:qFormat/>
    <w:uiPriority w:val="0"/>
    <w:pPr>
      <w:widowControl/>
      <w:spacing w:before="100" w:beforeAutospacing="1" w:after="100" w:afterAutospacing="1"/>
      <w:jc w:val="left"/>
    </w:pPr>
    <w:rPr>
      <w:rFonts w:ascii="Arial Unicode MS" w:hAnsi="Arial Unicode MS" w:cs="Arial Unicode MS"/>
      <w:kern w:val="0"/>
      <w:sz w:val="24"/>
      <w:lang w:eastAsia="en-US"/>
    </w:rPr>
  </w:style>
  <w:style w:type="paragraph" w:styleId="28">
    <w:name w:val="List Paragraph"/>
    <w:basedOn w:val="1"/>
    <w:qFormat/>
    <w:uiPriority w:val="34"/>
    <w:pPr>
      <w:ind w:firstLine="420" w:firstLineChars="200"/>
    </w:pPr>
  </w:style>
  <w:style w:type="character" w:customStyle="1" w:styleId="29">
    <w:name w:val="font41"/>
    <w:basedOn w:val="21"/>
    <w:qFormat/>
    <w:uiPriority w:val="0"/>
    <w:rPr>
      <w:rFonts w:hint="eastAsia" w:ascii="仿宋" w:hAnsi="仿宋" w:eastAsia="仿宋" w:cs="仿宋"/>
      <w:b/>
      <w:color w:val="000000"/>
      <w:sz w:val="15"/>
      <w:szCs w:val="15"/>
      <w:u w:val="none"/>
    </w:rPr>
  </w:style>
  <w:style w:type="character" w:customStyle="1" w:styleId="30">
    <w:name w:val="font11"/>
    <w:basedOn w:val="21"/>
    <w:qFormat/>
    <w:uiPriority w:val="0"/>
    <w:rPr>
      <w:rFonts w:hint="eastAsia" w:ascii="仿宋" w:hAnsi="仿宋" w:eastAsia="仿宋" w:cs="仿宋"/>
      <w:b/>
      <w:color w:val="000000"/>
      <w:sz w:val="15"/>
      <w:szCs w:val="15"/>
      <w:u w:val="none"/>
      <w:vertAlign w:val="superscript"/>
    </w:rPr>
  </w:style>
  <w:style w:type="character" w:customStyle="1" w:styleId="31">
    <w:name w:val="font31"/>
    <w:basedOn w:val="21"/>
    <w:qFormat/>
    <w:uiPriority w:val="0"/>
    <w:rPr>
      <w:rFonts w:hint="eastAsia" w:ascii="仿宋" w:hAnsi="仿宋" w:eastAsia="仿宋" w:cs="仿宋"/>
      <w:b/>
      <w:color w:val="000000"/>
      <w:sz w:val="15"/>
      <w:szCs w:val="15"/>
      <w:u w:val="none"/>
    </w:rPr>
  </w:style>
  <w:style w:type="character" w:customStyle="1" w:styleId="32">
    <w:name w:val="font01"/>
    <w:basedOn w:val="21"/>
    <w:qFormat/>
    <w:uiPriority w:val="0"/>
    <w:rPr>
      <w:rFonts w:hint="eastAsia" w:ascii="仿宋" w:hAnsi="仿宋" w:eastAsia="仿宋" w:cs="仿宋"/>
      <w:b/>
      <w:color w:val="000000"/>
      <w:sz w:val="15"/>
      <w:szCs w:val="15"/>
      <w:u w:val="none"/>
      <w:vertAlign w:val="superscript"/>
    </w:rPr>
  </w:style>
  <w:style w:type="character" w:customStyle="1" w:styleId="33">
    <w:name w:val="批注框文本 Char"/>
    <w:basedOn w:val="21"/>
    <w:link w:val="10"/>
    <w:qFormat/>
    <w:uiPriority w:val="0"/>
    <w:rPr>
      <w:kern w:val="2"/>
      <w:sz w:val="18"/>
      <w:szCs w:val="18"/>
    </w:rPr>
  </w:style>
  <w:style w:type="character" w:customStyle="1" w:styleId="34">
    <w:name w:val="font61"/>
    <w:basedOn w:val="21"/>
    <w:qFormat/>
    <w:uiPriority w:val="0"/>
    <w:rPr>
      <w:rFonts w:hint="eastAsia" w:ascii="宋体" w:hAnsi="宋体" w:eastAsia="宋体" w:cs="宋体"/>
      <w:b/>
      <w:color w:val="000000"/>
      <w:sz w:val="20"/>
      <w:szCs w:val="20"/>
      <w:u w:val="single"/>
    </w:rPr>
  </w:style>
  <w:style w:type="table" w:customStyle="1" w:styleId="35">
    <w:name w:val="tabList"/>
    <w:basedOn w:val="19"/>
    <w:qFormat/>
    <w:uiPriority w:val="0"/>
  </w:style>
  <w:style w:type="character" w:customStyle="1" w:styleId="36">
    <w:name w:val="font21"/>
    <w:basedOn w:val="21"/>
    <w:qFormat/>
    <w:uiPriority w:val="0"/>
    <w:rPr>
      <w:rFonts w:hint="eastAsia" w:ascii="宋体" w:hAnsi="宋体" w:eastAsia="宋体" w:cs="宋体"/>
      <w:color w:val="FF0000"/>
      <w:sz w:val="22"/>
      <w:szCs w:val="22"/>
      <w:u w:val="none"/>
    </w:rPr>
  </w:style>
  <w:style w:type="character" w:customStyle="1" w:styleId="37">
    <w:name w:val="font51"/>
    <w:basedOn w:val="21"/>
    <w:qFormat/>
    <w:uiPriority w:val="0"/>
    <w:rPr>
      <w:rFonts w:hint="eastAsia" w:ascii="宋体" w:hAnsi="宋体" w:eastAsia="宋体" w:cs="宋体"/>
      <w:b/>
      <w:bCs/>
      <w:color w:val="000000"/>
      <w:sz w:val="20"/>
      <w:szCs w:val="20"/>
      <w:u w:val="none"/>
    </w:rPr>
  </w:style>
  <w:style w:type="character" w:customStyle="1" w:styleId="38">
    <w:name w:val="NormalCharacter"/>
    <w:qFormat/>
    <w:uiPriority w:val="0"/>
    <w:rPr>
      <w:rFonts w:ascii="Times New Roman" w:hAnsi="Times New Roman" w:eastAsia="宋体" w:cs="Times New Roman"/>
      <w:kern w:val="2"/>
      <w:sz w:val="21"/>
      <w:szCs w:val="24"/>
      <w:lang w:val="en-US" w:eastAsia="zh-CN" w:bidi="ar-SA"/>
    </w:rPr>
  </w:style>
  <w:style w:type="paragraph" w:customStyle="1" w:styleId="39">
    <w:name w:val="样式 首行缩进:  2 字符"/>
    <w:basedOn w:val="1"/>
    <w:qFormat/>
    <w:uiPriority w:val="0"/>
    <w:pPr>
      <w:widowControl/>
      <w:spacing w:line="400" w:lineRule="exact"/>
      <w:ind w:firstLine="200" w:firstLineChars="200"/>
      <w:jc w:val="left"/>
    </w:pPr>
    <w:rPr>
      <w:rFonts w:ascii="Calibri" w:hAnsi="Calibri" w:cs="宋体"/>
      <w:kern w:val="0"/>
      <w:sz w:val="24"/>
      <w:lang w:eastAsia="en-US"/>
    </w:rPr>
  </w:style>
  <w:style w:type="paragraph" w:customStyle="1" w:styleId="40">
    <w:name w:val="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1">
    <w:name w:val="BodyText1I2"/>
    <w:basedOn w:val="42"/>
    <w:qFormat/>
    <w:uiPriority w:val="0"/>
    <w:pPr>
      <w:ind w:firstLine="420"/>
    </w:pPr>
  </w:style>
  <w:style w:type="paragraph" w:customStyle="1" w:styleId="42">
    <w:name w:val="BodyTextIndent"/>
    <w:basedOn w:val="1"/>
    <w:qFormat/>
    <w:uiPriority w:val="0"/>
    <w:pPr>
      <w:widowControl/>
      <w:snapToGrid w:val="0"/>
      <w:spacing w:after="120"/>
      <w:ind w:left="200" w:leftChars="200"/>
      <w:textAlignment w:val="baseline"/>
    </w:pPr>
    <w:rPr>
      <w:rFonts w:eastAsia="仿宋_GB2312"/>
      <w:sz w:val="32"/>
      <w:szCs w:val="32"/>
    </w:rPr>
  </w:style>
  <w:style w:type="paragraph" w:customStyle="1" w:styleId="43">
    <w:name w:val="列出段落1"/>
    <w:basedOn w:val="1"/>
    <w:qFormat/>
    <w:uiPriority w:val="0"/>
    <w:pPr>
      <w:ind w:firstLine="420" w:firstLineChars="200"/>
    </w:pPr>
  </w:style>
  <w:style w:type="paragraph" w:customStyle="1" w:styleId="44">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 w:type="paragraph" w:customStyle="1" w:styleId="45">
    <w:name w:val="正文缩进1"/>
    <w:basedOn w:val="1"/>
    <w:qFormat/>
    <w:uiPriority w:val="0"/>
    <w:pPr>
      <w:ind w:firstLine="420"/>
    </w:pPr>
    <w:rPr>
      <w:rFonts w:ascii="Calibri" w:hAnsi="Calibri" w:cs="Calibri"/>
    </w:rPr>
  </w:style>
  <w:style w:type="paragraph" w:customStyle="1" w:styleId="46">
    <w:name w:val="列出段落11"/>
    <w:basedOn w:val="1"/>
    <w:qFormat/>
    <w:uiPriority w:val="0"/>
    <w:pPr>
      <w:ind w:firstLine="420" w:firstLineChars="200"/>
    </w:pPr>
  </w:style>
  <w:style w:type="character" w:customStyle="1" w:styleId="47">
    <w:name w:val="g0f1bk4i1bp"/>
    <w:basedOn w:val="2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1D70E-0821-42A7-8D12-042DA7D5A105}">
  <ds:schemaRefs/>
</ds:datastoreItem>
</file>

<file path=docProps/app.xml><?xml version="1.0" encoding="utf-8"?>
<Properties xmlns="http://schemas.openxmlformats.org/officeDocument/2006/extended-properties" xmlns:vt="http://schemas.openxmlformats.org/officeDocument/2006/docPropsVTypes">
  <Template>Normal</Template>
  <Pages>28</Pages>
  <Words>9677</Words>
  <Characters>9788</Characters>
  <Lines>49</Lines>
  <Paragraphs>13</Paragraphs>
  <TotalTime>4</TotalTime>
  <ScaleCrop>false</ScaleCrop>
  <LinksUpToDate>false</LinksUpToDate>
  <CharactersWithSpaces>9883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2023-03-06T01:35:00Z</dcterms:created>
  <dc:creator>杨鑫</dc:creator>
  <cp:lastModifiedBy>张洁菲</cp:lastModifiedBy>
  <cp:lastPrinted>2022-07-13T11:14:00Z</cp:lastPrinted>
  <dcterms:modified xsi:type="dcterms:W3CDTF">2026-05-22T07:17:34Z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FC8A98CA2B30414898C04A44A0C0B939_13</vt:lpwstr>
  </property>
  <property fmtid="{D5CDD505-2E9C-101B-9397-08002B2CF9AE}" pid="4" name="KSOTemplateDocerSaveRecord">
    <vt:lpwstr>eyJoZGlkIjoiZGMwYjVjMjQ0NjhhYjk3NDEyMWQ2YjA3Y2Q0YTkxZGYiLCJ1c2VySWQiOiIxNjcwMjQ0MTQ2In0=</vt:lpwstr>
  </property>
</Properties>
</file>