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宋体"/>
          <w:kern w:val="0"/>
          <w:sz w:val="32"/>
          <w:szCs w:val="32"/>
        </w:rPr>
      </w:pPr>
      <w:r>
        <w:rPr>
          <w:rFonts w:hint="eastAsia" w:ascii="黑体" w:hAnsi="黑体" w:eastAsia="黑体" w:cs="宋体"/>
          <w:kern w:val="0"/>
          <w:sz w:val="32"/>
          <w:szCs w:val="32"/>
        </w:rPr>
        <w:t>自贡市中医医院</w:t>
      </w:r>
    </w:p>
    <w:p>
      <w:pPr>
        <w:spacing w:line="560" w:lineRule="exact"/>
        <w:jc w:val="center"/>
        <w:rPr>
          <w:rFonts w:ascii="黑体" w:hAnsi="黑体" w:eastAsia="黑体" w:cs="宋体"/>
          <w:kern w:val="0"/>
          <w:sz w:val="32"/>
          <w:szCs w:val="32"/>
        </w:rPr>
      </w:pPr>
      <w:r>
        <w:rPr>
          <w:rFonts w:hint="eastAsia" w:ascii="黑体" w:hAnsi="黑体" w:eastAsia="黑体" w:cs="宋体"/>
          <w:kern w:val="0"/>
          <w:sz w:val="32"/>
          <w:szCs w:val="32"/>
        </w:rPr>
        <w:t>智慧煎药中心运行合作项目公开遴选办法</w:t>
      </w:r>
    </w:p>
    <w:p>
      <w:pPr>
        <w:spacing w:line="560" w:lineRule="exact"/>
        <w:ind w:firstLine="640" w:firstLineChars="200"/>
        <w:jc w:val="center"/>
        <w:rPr>
          <w:rFonts w:ascii="黑体" w:hAnsi="黑体" w:eastAsia="黑体" w:cs="宋体"/>
          <w:kern w:val="0"/>
          <w:sz w:val="32"/>
          <w:szCs w:val="32"/>
        </w:rPr>
      </w:pPr>
    </w:p>
    <w:p>
      <w:pPr>
        <w:snapToGrid w:val="0"/>
        <w:spacing w:line="336" w:lineRule="auto"/>
        <w:ind w:firstLine="640" w:firstLineChars="200"/>
        <w:rPr>
          <w:rFonts w:eastAsia="仿宋_GB2312"/>
          <w:sz w:val="32"/>
          <w:szCs w:val="32"/>
        </w:rPr>
      </w:pPr>
      <w:r>
        <w:rPr>
          <w:rFonts w:hint="eastAsia" w:ascii="仿宋_GB2312" w:hAnsi="仿宋_GB2312" w:eastAsia="仿宋_GB2312" w:cs="仿宋_GB2312"/>
          <w:sz w:val="32"/>
          <w:szCs w:val="32"/>
        </w:rPr>
        <w:t>为进一步提升我院中医特色服务能力，</w:t>
      </w:r>
      <w:r>
        <w:rPr>
          <w:rFonts w:hint="eastAsia" w:ascii="仿宋_GB2312" w:hAnsi="宋体" w:eastAsia="仿宋_GB2312" w:cs="宋体"/>
          <w:kern w:val="0"/>
          <w:sz w:val="32"/>
          <w:szCs w:val="32"/>
        </w:rPr>
        <w:t>公开、公平、公正的</w:t>
      </w:r>
      <w:r>
        <w:rPr>
          <w:rFonts w:hint="eastAsia" w:ascii="仿宋_GB2312" w:hAnsi="仿宋_GB2312" w:eastAsia="仿宋_GB2312" w:cs="仿宋_GB2312"/>
          <w:sz w:val="32"/>
          <w:szCs w:val="32"/>
        </w:rPr>
        <w:t>遴选引进优质合作单位，共建智慧煎药中心，</w:t>
      </w:r>
      <w:r>
        <w:rPr>
          <w:rFonts w:hint="eastAsia" w:ascii="仿宋_GB2312" w:hAnsi="宋体" w:eastAsia="仿宋_GB2312" w:cs="宋体"/>
          <w:kern w:val="0"/>
          <w:sz w:val="32"/>
          <w:szCs w:val="32"/>
        </w:rPr>
        <w:t>现将遴选办法公告如下</w:t>
      </w:r>
      <w:r>
        <w:rPr>
          <w:rFonts w:hint="eastAsia" w:eastAsia="仿宋_GB2312"/>
          <w:sz w:val="32"/>
          <w:szCs w:val="32"/>
        </w:rPr>
        <w:t>：</w:t>
      </w:r>
    </w:p>
    <w:p>
      <w:pPr>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一、基本情况</w:t>
      </w:r>
    </w:p>
    <w:p>
      <w:pPr>
        <w:snapToGrid w:val="0"/>
        <w:spacing w:line="336" w:lineRule="auto"/>
        <w:ind w:firstLine="640" w:firstLineChars="200"/>
        <w:rPr>
          <w:rFonts w:ascii="仿宋_GB2312" w:hAnsi="宋体" w:eastAsia="仿宋_GB2312" w:cs="宋体"/>
          <w:kern w:val="0"/>
          <w:sz w:val="32"/>
          <w:szCs w:val="32"/>
        </w:rPr>
      </w:pPr>
      <w:r>
        <w:rPr>
          <w:rFonts w:hint="eastAsia" w:ascii="仿宋_GB2312" w:hAnsi="仿宋_GB2312" w:eastAsia="仿宋_GB2312" w:cs="仿宋_GB2312"/>
          <w:sz w:val="32"/>
          <w:szCs w:val="32"/>
        </w:rPr>
        <w:t>1.合作项目名称：</w:t>
      </w:r>
      <w:r>
        <w:rPr>
          <w:rFonts w:hint="eastAsia" w:ascii="仿宋_GB2312" w:hAnsi="宋体" w:eastAsia="仿宋_GB2312" w:cs="宋体"/>
          <w:kern w:val="0"/>
          <w:sz w:val="32"/>
          <w:szCs w:val="32"/>
        </w:rPr>
        <w:t>自贡市中医医院智慧煎药中心运行合作项目</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2.项目基本情况：智慧煎药中心位于自贡市中医医院卧龙湖院区中医特色中心大楼3楼，建筑面积约450平方米，目前设备采购、基础建设已经完成，即将开展二装。</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3.合作方式：医院负责提供智慧煎药中心场地、首批设备，负责派专业药师监督饮片质量、煎药质量和业务指导。合作方负责智慧煎药中心的运行、管理、日常维护等服务。</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运行需求：满足医院三个院区门诊、住院病人煎药需求。服务规模满足1200张床位的住院患者及年门诊约40万人次的需求,日代煎量约200张处方。在满足医院煎药量的前提下，合作方可以对外承接煎药服务，并给予院方相应的技术指导</w:t>
      </w:r>
      <w:r>
        <w:rPr>
          <w:rFonts w:hint="eastAsia" w:ascii="仿宋_GB2312" w:hAnsi="仿宋_GB2312" w:eastAsia="仿宋_GB2312" w:cs="仿宋_GB2312"/>
          <w:sz w:val="32"/>
          <w:szCs w:val="32"/>
          <w:lang w:eastAsia="zh-CN"/>
        </w:rPr>
        <w:t>费</w:t>
      </w:r>
      <w:r>
        <w:rPr>
          <w:rFonts w:hint="eastAsia" w:ascii="仿宋_GB2312" w:hAnsi="仿宋_GB2312" w:eastAsia="仿宋_GB2312" w:cs="仿宋_GB2312"/>
          <w:sz w:val="32"/>
          <w:szCs w:val="32"/>
        </w:rPr>
        <w:t>、设备使用费。</w:t>
      </w:r>
    </w:p>
    <w:p>
      <w:pPr>
        <w:widowControl/>
        <w:snapToGrid w:val="0"/>
        <w:spacing w:line="336" w:lineRule="auto"/>
        <w:ind w:right="25" w:rightChars="12" w:firstLine="640" w:firstLineChars="200"/>
        <w:rPr>
          <w:rFonts w:hAnsi="黑体" w:eastAsia="黑体"/>
          <w:sz w:val="32"/>
          <w:szCs w:val="32"/>
        </w:rPr>
      </w:pPr>
      <w:r>
        <w:rPr>
          <w:rFonts w:hint="eastAsia" w:hAnsi="黑体" w:eastAsia="黑体"/>
          <w:sz w:val="32"/>
          <w:szCs w:val="32"/>
        </w:rPr>
        <w:t>二、报名</w:t>
      </w:r>
      <w:r>
        <w:rPr>
          <w:rFonts w:hAnsi="黑体" w:eastAsia="黑体"/>
          <w:sz w:val="32"/>
          <w:szCs w:val="32"/>
        </w:rPr>
        <w:t>条件</w:t>
      </w:r>
    </w:p>
    <w:p>
      <w:pPr>
        <w:snapToGrid w:val="0"/>
        <w:spacing w:line="336" w:lineRule="auto"/>
        <w:ind w:firstLine="640" w:firstLineChars="200"/>
        <w:rPr>
          <w:rFonts w:eastAsia="仿宋_GB2312"/>
          <w:sz w:val="32"/>
          <w:szCs w:val="32"/>
        </w:rPr>
      </w:pPr>
      <w:r>
        <w:rPr>
          <w:rFonts w:hint="eastAsia" w:ascii="仿宋_GB2312" w:hAnsi="宋体" w:eastAsia="仿宋_GB2312" w:cs="宋体"/>
          <w:kern w:val="0"/>
          <w:sz w:val="32"/>
          <w:szCs w:val="32"/>
        </w:rPr>
        <w:t>参与遴选单位</w:t>
      </w:r>
      <w:r>
        <w:rPr>
          <w:rFonts w:eastAsia="仿宋_GB2312"/>
          <w:sz w:val="32"/>
          <w:szCs w:val="32"/>
        </w:rPr>
        <w:t>须</w:t>
      </w:r>
      <w:r>
        <w:rPr>
          <w:rFonts w:hint="eastAsia" w:eastAsia="仿宋_GB2312"/>
          <w:sz w:val="32"/>
          <w:szCs w:val="32"/>
        </w:rPr>
        <w:t>满足以下基本条件</w:t>
      </w:r>
      <w:r>
        <w:rPr>
          <w:rFonts w:eastAsia="仿宋_GB2312"/>
          <w:sz w:val="32"/>
          <w:szCs w:val="32"/>
        </w:rPr>
        <w:t>：</w:t>
      </w:r>
    </w:p>
    <w:p>
      <w:pPr>
        <w:snapToGrid w:val="0"/>
        <w:spacing w:line="336" w:lineRule="auto"/>
        <w:ind w:firstLine="640" w:firstLineChars="200"/>
        <w:rPr>
          <w:rFonts w:eastAsia="仿宋_GB2312"/>
          <w:sz w:val="32"/>
          <w:szCs w:val="32"/>
        </w:rPr>
      </w:pPr>
      <w:r>
        <w:rPr>
          <w:rFonts w:hint="eastAsia" w:eastAsia="仿宋_GB2312"/>
          <w:sz w:val="32"/>
          <w:szCs w:val="32"/>
        </w:rPr>
        <w:t>（一）报名</w:t>
      </w:r>
      <w:r>
        <w:rPr>
          <w:rFonts w:eastAsia="仿宋_GB2312"/>
          <w:sz w:val="32"/>
          <w:szCs w:val="32"/>
        </w:rPr>
        <w:t>对象为独立法人机构</w:t>
      </w:r>
      <w:r>
        <w:rPr>
          <w:rFonts w:hint="eastAsia" w:eastAsia="仿宋_GB2312"/>
          <w:sz w:val="32"/>
          <w:szCs w:val="32"/>
        </w:rPr>
        <w:t>，</w:t>
      </w:r>
      <w:r>
        <w:rPr>
          <w:rFonts w:hint="eastAsia" w:ascii="仿宋_GB2312" w:hAnsi="仿宋_GB2312" w:eastAsia="仿宋_GB2312" w:cs="仿宋_GB2312"/>
          <w:sz w:val="32"/>
          <w:szCs w:val="32"/>
        </w:rPr>
        <w:t>具有独立承担民事责任能力；</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pPr>
        <w:snapToGrid w:val="0"/>
        <w:spacing w:line="336" w:lineRule="auto"/>
        <w:ind w:firstLine="640" w:firstLineChars="200"/>
        <w:rPr>
          <w:rFonts w:eastAsia="仿宋_GB2312"/>
          <w:sz w:val="32"/>
          <w:szCs w:val="32"/>
        </w:rPr>
      </w:pPr>
      <w:r>
        <w:rPr>
          <w:rFonts w:hint="eastAsia" w:eastAsia="仿宋_GB2312"/>
          <w:sz w:val="32"/>
          <w:szCs w:val="32"/>
        </w:rPr>
        <w:t>（三）具备中药饮片经营资质；</w:t>
      </w:r>
    </w:p>
    <w:p>
      <w:pPr>
        <w:snapToGrid w:val="0"/>
        <w:spacing w:line="336" w:lineRule="auto"/>
        <w:ind w:firstLine="640" w:firstLineChars="200"/>
        <w:rPr>
          <w:rFonts w:eastAsia="仿宋_GB2312"/>
          <w:sz w:val="32"/>
          <w:szCs w:val="32"/>
        </w:rPr>
      </w:pPr>
      <w:r>
        <w:rPr>
          <w:rFonts w:hint="eastAsia" w:eastAsia="仿宋_GB2312"/>
          <w:sz w:val="32"/>
          <w:szCs w:val="32"/>
        </w:rPr>
        <w:t>（四）满足智慧煎药中心运行的专业技术能力和配送能力。</w:t>
      </w:r>
    </w:p>
    <w:p>
      <w:pPr>
        <w:widowControl/>
        <w:snapToGrid w:val="0"/>
        <w:spacing w:line="336" w:lineRule="auto"/>
        <w:ind w:right="25" w:rightChars="12" w:firstLine="640" w:firstLineChars="200"/>
        <w:rPr>
          <w:rFonts w:eastAsia="黑体"/>
          <w:sz w:val="32"/>
          <w:szCs w:val="32"/>
        </w:rPr>
      </w:pPr>
      <w:r>
        <w:rPr>
          <w:rFonts w:hAnsi="黑体" w:eastAsia="黑体"/>
          <w:sz w:val="32"/>
          <w:szCs w:val="32"/>
        </w:rPr>
        <w:t>三、</w:t>
      </w:r>
      <w:r>
        <w:rPr>
          <w:rFonts w:hint="eastAsia" w:hAnsi="黑体" w:eastAsia="黑体"/>
          <w:sz w:val="32"/>
          <w:szCs w:val="32"/>
        </w:rPr>
        <w:t>遴</w:t>
      </w:r>
      <w:r>
        <w:rPr>
          <w:rFonts w:hAnsi="黑体" w:eastAsia="黑体"/>
          <w:sz w:val="32"/>
          <w:szCs w:val="32"/>
        </w:rPr>
        <w:t>选程序</w:t>
      </w:r>
    </w:p>
    <w:p>
      <w:pPr>
        <w:tabs>
          <w:tab w:val="center" w:pos="4153"/>
        </w:tabs>
        <w:adjustRightInd w:val="0"/>
        <w:snapToGrid w:val="0"/>
        <w:spacing w:line="336" w:lineRule="auto"/>
        <w:ind w:firstLine="640" w:firstLineChars="200"/>
        <w:jc w:val="left"/>
        <w:rPr>
          <w:rFonts w:ascii="楷体_GB2312" w:eastAsia="楷体_GB2312"/>
          <w:sz w:val="32"/>
          <w:szCs w:val="32"/>
        </w:rPr>
      </w:pPr>
      <w:r>
        <w:rPr>
          <w:rFonts w:ascii="楷体_GB2312" w:eastAsia="楷体_GB2312"/>
          <w:sz w:val="32"/>
          <w:szCs w:val="32"/>
        </w:rPr>
        <w:t>（一）</w:t>
      </w:r>
      <w:r>
        <w:rPr>
          <w:rFonts w:hint="eastAsia" w:ascii="楷体_GB2312" w:eastAsia="楷体_GB2312"/>
          <w:sz w:val="32"/>
          <w:szCs w:val="32"/>
        </w:rPr>
        <w:t>报名及资格审定</w:t>
      </w:r>
    </w:p>
    <w:p>
      <w:pPr>
        <w:tabs>
          <w:tab w:val="center" w:pos="4153"/>
        </w:tabs>
        <w:adjustRightInd w:val="0"/>
        <w:snapToGrid w:val="0"/>
        <w:spacing w:line="336" w:lineRule="auto"/>
        <w:ind w:firstLine="640" w:firstLineChars="200"/>
        <w:jc w:val="left"/>
        <w:rPr>
          <w:rFonts w:eastAsia="仿宋_GB2312"/>
          <w:sz w:val="32"/>
          <w:szCs w:val="32"/>
        </w:rPr>
      </w:pPr>
      <w:r>
        <w:rPr>
          <w:rFonts w:hint="eastAsia" w:eastAsia="仿宋_GB2312"/>
          <w:sz w:val="32"/>
          <w:szCs w:val="32"/>
        </w:rPr>
        <w:t>1.报名</w:t>
      </w:r>
      <w:r>
        <w:rPr>
          <w:rFonts w:eastAsia="仿宋_GB2312"/>
          <w:sz w:val="32"/>
          <w:szCs w:val="32"/>
        </w:rPr>
        <w:t>时间：2023年</w:t>
      </w:r>
      <w:r>
        <w:rPr>
          <w:rFonts w:hint="eastAsia" w:eastAsia="仿宋_GB2312"/>
          <w:sz w:val="32"/>
          <w:szCs w:val="32"/>
        </w:rPr>
        <w:t>3</w:t>
      </w:r>
      <w:r>
        <w:rPr>
          <w:rFonts w:eastAsia="仿宋_GB2312"/>
          <w:sz w:val="32"/>
          <w:szCs w:val="32"/>
        </w:rPr>
        <w:t>月</w:t>
      </w:r>
      <w:r>
        <w:rPr>
          <w:rFonts w:hint="eastAsia" w:eastAsia="仿宋_GB2312"/>
          <w:sz w:val="32"/>
          <w:szCs w:val="32"/>
          <w:lang w:val="en-US" w:eastAsia="zh-CN"/>
        </w:rPr>
        <w:t>8</w:t>
      </w:r>
      <w:r>
        <w:rPr>
          <w:rFonts w:hint="eastAsia" w:eastAsia="仿宋_GB2312"/>
          <w:sz w:val="32"/>
          <w:szCs w:val="32"/>
        </w:rPr>
        <w:t>日至3月</w:t>
      </w:r>
      <w:r>
        <w:rPr>
          <w:rFonts w:hint="eastAsia" w:eastAsia="仿宋_GB2312"/>
          <w:sz w:val="32"/>
          <w:szCs w:val="32"/>
          <w:lang w:val="en-US" w:eastAsia="zh-CN"/>
        </w:rPr>
        <w:t>12</w:t>
      </w:r>
      <w:bookmarkStart w:id="0" w:name="_GoBack"/>
      <w:bookmarkEnd w:id="0"/>
      <w:r>
        <w:rPr>
          <w:rFonts w:hint="eastAsia" w:eastAsia="仿宋_GB2312"/>
          <w:sz w:val="32"/>
          <w:szCs w:val="32"/>
        </w:rPr>
        <w:t>日17：00</w:t>
      </w:r>
      <w:r>
        <w:rPr>
          <w:rFonts w:eastAsia="仿宋_GB2312"/>
          <w:sz w:val="32"/>
          <w:szCs w:val="32"/>
        </w:rPr>
        <w:t>。</w:t>
      </w:r>
    </w:p>
    <w:p>
      <w:pPr>
        <w:tabs>
          <w:tab w:val="center" w:pos="4153"/>
        </w:tabs>
        <w:adjustRightInd w:val="0"/>
        <w:snapToGrid w:val="0"/>
        <w:spacing w:line="336" w:lineRule="auto"/>
        <w:ind w:firstLine="640" w:firstLineChars="200"/>
        <w:jc w:val="left"/>
        <w:rPr>
          <w:rFonts w:eastAsia="仿宋_GB2312"/>
          <w:b/>
          <w:bCs/>
          <w:sz w:val="32"/>
          <w:szCs w:val="32"/>
        </w:rPr>
      </w:pPr>
      <w:r>
        <w:rPr>
          <w:rFonts w:hint="eastAsia" w:eastAsia="仿宋_GB2312"/>
          <w:sz w:val="32"/>
          <w:szCs w:val="32"/>
        </w:rPr>
        <w:t>2.报名递交资料：</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（1）报名函；</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（2）相关专业资质、资格证明材料；</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（3）营业执照副本复印件；</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（4）体现健全的财务制度的证明材料：承诺书或者年度财务状况报告复印件。</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（5）法定代表人身份证复印件。</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（6）法定代表人授权委托书原件和授权代表身份证复印件。</w:t>
      </w:r>
    </w:p>
    <w:p>
      <w:pPr>
        <w:adjustRightInd w:val="0"/>
        <w:snapToGrid w:val="0"/>
        <w:spacing w:line="336" w:lineRule="auto"/>
        <w:ind w:firstLine="640" w:firstLineChars="200"/>
        <w:rPr>
          <w:rFonts w:eastAsia="仿宋_GB2312"/>
          <w:sz w:val="32"/>
          <w:szCs w:val="32"/>
        </w:rPr>
      </w:pPr>
      <w:r>
        <w:rPr>
          <w:rFonts w:hint="eastAsia" w:ascii="仿宋_GB2312" w:hAnsi="仿宋" w:eastAsia="仿宋_GB2312" w:cs="仿宋_GB2312"/>
          <w:sz w:val="32"/>
          <w:szCs w:val="32"/>
        </w:rPr>
        <w:t>以上资料均须加盖单位公章并</w:t>
      </w:r>
      <w:r>
        <w:rPr>
          <w:rFonts w:eastAsia="仿宋_GB2312"/>
          <w:sz w:val="32"/>
          <w:szCs w:val="32"/>
        </w:rPr>
        <w:t>于</w:t>
      </w:r>
      <w:r>
        <w:rPr>
          <w:rFonts w:hint="eastAsia" w:eastAsia="仿宋_GB2312"/>
          <w:sz w:val="32"/>
          <w:szCs w:val="32"/>
        </w:rPr>
        <w:t>报名截止时间</w:t>
      </w:r>
      <w:r>
        <w:rPr>
          <w:rFonts w:eastAsia="仿宋_GB2312"/>
          <w:sz w:val="32"/>
          <w:szCs w:val="32"/>
        </w:rPr>
        <w:t>前报送至</w:t>
      </w:r>
      <w:r>
        <w:rPr>
          <w:rFonts w:hint="eastAsia" w:eastAsia="仿宋_GB2312"/>
          <w:sz w:val="32"/>
          <w:szCs w:val="32"/>
        </w:rPr>
        <w:t>自贡市中医医院卧龙湖院区2号楼409室</w:t>
      </w:r>
      <w:r>
        <w:rPr>
          <w:rFonts w:eastAsia="仿宋_GB2312"/>
          <w:sz w:val="32"/>
          <w:szCs w:val="32"/>
        </w:rPr>
        <w:t>（纸质材料1份和扫描件电子档）</w:t>
      </w:r>
      <w:r>
        <w:rPr>
          <w:rFonts w:hint="eastAsia" w:eastAsia="仿宋_GB2312"/>
          <w:sz w:val="32"/>
          <w:szCs w:val="32"/>
        </w:rPr>
        <w:t>，资格审定合格后医院将电话通知参与单位。</w:t>
      </w:r>
    </w:p>
    <w:p>
      <w:pPr>
        <w:numPr>
          <w:ilvl w:val="0"/>
          <w:numId w:val="1"/>
        </w:numPr>
        <w:adjustRightInd w:val="0"/>
        <w:snapToGrid w:val="0"/>
        <w:spacing w:line="336" w:lineRule="auto"/>
        <w:ind w:firstLine="640"/>
        <w:rPr>
          <w:rFonts w:ascii="楷体_GB2312" w:eastAsia="楷体_GB2312"/>
          <w:sz w:val="32"/>
          <w:szCs w:val="32"/>
        </w:rPr>
      </w:pPr>
      <w:r>
        <w:rPr>
          <w:rFonts w:hint="eastAsia" w:ascii="楷体_GB2312" w:eastAsia="楷体_GB2312"/>
          <w:sz w:val="32"/>
          <w:szCs w:val="32"/>
        </w:rPr>
        <w:t>现场陈述</w:t>
      </w:r>
    </w:p>
    <w:p>
      <w:pPr>
        <w:adjustRightInd w:val="0"/>
        <w:snapToGrid w:val="0"/>
        <w:spacing w:line="336" w:lineRule="auto"/>
        <w:ind w:firstLine="640" w:firstLineChars="200"/>
        <w:rPr>
          <w:rFonts w:eastAsia="仿宋_GB2312"/>
          <w:sz w:val="32"/>
          <w:szCs w:val="32"/>
        </w:rPr>
      </w:pPr>
      <w:r>
        <w:rPr>
          <w:rFonts w:hint="eastAsia" w:eastAsia="仿宋_GB2312"/>
          <w:sz w:val="32"/>
          <w:szCs w:val="32"/>
        </w:rPr>
        <w:t>1.</w:t>
      </w:r>
      <w:r>
        <w:rPr>
          <w:rFonts w:eastAsia="仿宋_GB2312"/>
          <w:sz w:val="32"/>
          <w:szCs w:val="32"/>
        </w:rPr>
        <w:t>时间：初步定于2023年</w:t>
      </w:r>
      <w:r>
        <w:rPr>
          <w:rFonts w:hint="eastAsia" w:eastAsia="仿宋_GB2312"/>
          <w:sz w:val="32"/>
          <w:szCs w:val="32"/>
        </w:rPr>
        <w:t>3</w:t>
      </w:r>
      <w:r>
        <w:rPr>
          <w:rFonts w:eastAsia="仿宋_GB2312"/>
          <w:sz w:val="32"/>
          <w:szCs w:val="32"/>
        </w:rPr>
        <w:t>月</w:t>
      </w:r>
      <w:r>
        <w:rPr>
          <w:rFonts w:hint="eastAsia" w:eastAsia="仿宋_GB2312"/>
          <w:sz w:val="32"/>
          <w:szCs w:val="32"/>
        </w:rPr>
        <w:t>17日，下午</w:t>
      </w:r>
      <w:r>
        <w:rPr>
          <w:rFonts w:hint="eastAsia" w:ascii="仿宋_GB2312" w:hAnsi="仿宋_GB2312" w:eastAsia="仿宋_GB2312" w:cs="仿宋_GB2312"/>
          <w:sz w:val="32"/>
          <w:szCs w:val="32"/>
        </w:rPr>
        <w:t>14：40，若有变动将电话通知资格审核合格单位</w:t>
      </w:r>
      <w:r>
        <w:rPr>
          <w:rFonts w:hint="eastAsia" w:eastAsia="仿宋_GB2312"/>
          <w:sz w:val="32"/>
          <w:szCs w:val="32"/>
        </w:rPr>
        <w:t>。</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2.地点：自贡市中医医院卧龙湖医院2号楼411会议室。</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 w:eastAsia="仿宋_GB2312" w:cs="宋体"/>
          <w:kern w:val="0"/>
          <w:sz w:val="32"/>
          <w:szCs w:val="32"/>
        </w:rPr>
        <w:t>3.现场资料：各参与单位按照《智慧煎药中心运行合作项目现场陈述评分表》(附件2)为指南，制作</w:t>
      </w:r>
      <w:r>
        <w:rPr>
          <w:rFonts w:hint="eastAsia" w:ascii="仿宋_GB2312" w:hAnsi="仿宋_GB2312" w:eastAsia="仿宋_GB2312" w:cs="仿宋_GB2312"/>
          <w:sz w:val="32"/>
          <w:szCs w:val="32"/>
        </w:rPr>
        <w:t>合作方案即</w:t>
      </w:r>
      <w:r>
        <w:rPr>
          <w:rFonts w:hint="eastAsia" w:ascii="仿宋_GB2312" w:hAnsi="仿宋" w:eastAsia="仿宋_GB2312" w:cs="宋体"/>
          <w:kern w:val="0"/>
          <w:sz w:val="32"/>
          <w:szCs w:val="32"/>
        </w:rPr>
        <w:t>遴选响应资料，现场陈述时须</w:t>
      </w:r>
      <w:r>
        <w:rPr>
          <w:rFonts w:hint="eastAsia" w:ascii="仿宋_GB2312" w:hAnsi="仿宋_GB2312" w:eastAsia="仿宋_GB2312" w:cs="仿宋_GB2312"/>
          <w:sz w:val="32"/>
          <w:szCs w:val="32"/>
        </w:rPr>
        <w:t>提供纸质版资料15份。</w:t>
      </w:r>
    </w:p>
    <w:p>
      <w:pPr>
        <w:adjustRightInd w:val="0"/>
        <w:snapToGrid w:val="0"/>
        <w:spacing w:line="336" w:lineRule="auto"/>
        <w:ind w:firstLine="640" w:firstLineChars="200"/>
        <w:rPr>
          <w:rFonts w:ascii="仿宋_GB2312" w:hAnsi="仿宋" w:eastAsia="仿宋_GB2312" w:cs="宋体"/>
          <w:kern w:val="0"/>
          <w:sz w:val="32"/>
          <w:szCs w:val="32"/>
        </w:rPr>
      </w:pPr>
      <w:r>
        <w:rPr>
          <w:rFonts w:hint="eastAsia" w:ascii="仿宋_GB2312" w:hAnsi="仿宋_GB2312" w:eastAsia="仿宋_GB2312" w:cs="仿宋_GB2312"/>
          <w:sz w:val="32"/>
          <w:szCs w:val="32"/>
        </w:rPr>
        <w:t>4.陈述方式：参与遴选单位根据现场抽签方式，决定陈述顺序，准备不超过20分钟的PPT演示稿，主要对</w:t>
      </w:r>
      <w:r>
        <w:rPr>
          <w:rFonts w:hint="eastAsia" w:ascii="仿宋_GB2312" w:hAnsi="仿宋" w:eastAsia="仿宋_GB2312" w:cs="宋体"/>
          <w:kern w:val="0"/>
          <w:sz w:val="32"/>
          <w:szCs w:val="32"/>
        </w:rPr>
        <w:t>评分表</w:t>
      </w:r>
      <w:r>
        <w:rPr>
          <w:rFonts w:hint="eastAsia" w:ascii="仿宋_GB2312" w:hAnsi="仿宋_GB2312" w:eastAsia="仿宋_GB2312" w:cs="仿宋_GB2312"/>
          <w:sz w:val="32"/>
          <w:szCs w:val="32"/>
        </w:rPr>
        <w:t>中合作方案、售后服务等核心内容进行陈述，现场答疑10分钟。各单位参与现场陈述人员不超过3人。</w:t>
      </w:r>
    </w:p>
    <w:p>
      <w:pPr>
        <w:adjustRightInd w:val="0"/>
        <w:snapToGrid w:val="0"/>
        <w:spacing w:line="336" w:lineRule="auto"/>
        <w:ind w:firstLine="640" w:firstLineChars="200"/>
        <w:rPr>
          <w:rFonts w:eastAsia="仿宋_GB2312"/>
          <w:sz w:val="32"/>
          <w:szCs w:val="32"/>
        </w:rPr>
      </w:pPr>
      <w:r>
        <w:rPr>
          <w:rFonts w:hint="eastAsia" w:eastAsia="仿宋_GB2312"/>
          <w:sz w:val="32"/>
          <w:szCs w:val="32"/>
        </w:rPr>
        <w:t>5.评分标准：遴选小组工作人员依据各单位提供的合作方案和现场陈述表现进行评判打分。去掉一个最高分和一个最低分，取算术平均分，按得分高低排序，得分排名前2名的单位进入下一轮实地考察，其余单位自动淘汰。</w:t>
      </w:r>
    </w:p>
    <w:p>
      <w:pPr>
        <w:adjustRightInd w:val="0"/>
        <w:snapToGrid w:val="0"/>
        <w:spacing w:line="336" w:lineRule="auto"/>
        <w:ind w:firstLine="640" w:firstLineChars="200"/>
        <w:rPr>
          <w:rFonts w:ascii="楷体_GB2312" w:eastAsia="楷体_GB2312"/>
          <w:sz w:val="32"/>
          <w:szCs w:val="32"/>
        </w:rPr>
      </w:pPr>
      <w:r>
        <w:rPr>
          <w:rFonts w:hint="eastAsia" w:ascii="楷体_GB2312" w:eastAsia="楷体_GB2312"/>
          <w:sz w:val="32"/>
          <w:szCs w:val="32"/>
        </w:rPr>
        <w:t>（三）实地考察</w:t>
      </w:r>
    </w:p>
    <w:p>
      <w:pPr>
        <w:adjustRightInd w:val="0"/>
        <w:snapToGrid w:val="0"/>
        <w:spacing w:line="336" w:lineRule="auto"/>
        <w:ind w:firstLine="640" w:firstLineChars="200"/>
        <w:rPr>
          <w:rFonts w:eastAsia="仿宋_GB2312"/>
          <w:sz w:val="32"/>
          <w:szCs w:val="32"/>
        </w:rPr>
      </w:pPr>
      <w:r>
        <w:rPr>
          <w:rFonts w:hint="eastAsia" w:ascii="仿宋_GB2312" w:hAnsi="宋体" w:eastAsia="仿宋_GB2312" w:cs="宋体"/>
          <w:kern w:val="0"/>
          <w:sz w:val="32"/>
          <w:szCs w:val="32"/>
        </w:rPr>
        <w:t>医院组织遴选小组工作人员对进入考察阶段的单位进行实地参观考察，进一步深入了解、对比，综合分析单位实力。各单位按照</w:t>
      </w:r>
      <w:r>
        <w:rPr>
          <w:rFonts w:hint="eastAsia" w:ascii="仿宋_GB2312" w:hAnsi="仿宋" w:eastAsia="仿宋_GB2312" w:cs="宋体"/>
          <w:kern w:val="0"/>
          <w:sz w:val="32"/>
          <w:szCs w:val="32"/>
        </w:rPr>
        <w:t>《智慧煎药中心运行合作项目</w:t>
      </w:r>
      <w:r>
        <w:rPr>
          <w:rFonts w:hint="eastAsia" w:eastAsia="仿宋_GB2312"/>
          <w:sz w:val="32"/>
          <w:szCs w:val="32"/>
        </w:rPr>
        <w:t>实地考察评分表</w:t>
      </w:r>
      <w:r>
        <w:rPr>
          <w:rFonts w:hint="eastAsia" w:ascii="仿宋_GB2312" w:hAnsi="仿宋" w:eastAsia="仿宋_GB2312" w:cs="宋体"/>
          <w:kern w:val="0"/>
          <w:sz w:val="32"/>
          <w:szCs w:val="32"/>
        </w:rPr>
        <w:t>》（附件3）作好准备并提供相应佐证资料。</w:t>
      </w:r>
      <w:r>
        <w:rPr>
          <w:rFonts w:hint="eastAsia" w:eastAsia="仿宋_GB2312"/>
          <w:sz w:val="32"/>
          <w:szCs w:val="32"/>
        </w:rPr>
        <w:t>遴选小组工作人员依据实地考察情况和各单位提供的佐证资料进行评判打分排名。</w:t>
      </w:r>
    </w:p>
    <w:p>
      <w:pPr>
        <w:pStyle w:val="17"/>
        <w:adjustRightInd w:val="0"/>
        <w:snapToGrid w:val="0"/>
        <w:spacing w:before="0" w:after="0" w:line="336" w:lineRule="auto"/>
        <w:ind w:firstLine="640" w:firstLineChars="200"/>
        <w:jc w:val="both"/>
        <w:rPr>
          <w:b w:val="0"/>
          <w:bCs w:val="0"/>
        </w:rPr>
      </w:pPr>
      <w:r>
        <w:rPr>
          <w:rFonts w:hint="eastAsia" w:ascii="Times New Roman" w:hAnsi="Times New Roman" w:eastAsia="仿宋_GB2312"/>
          <w:b w:val="0"/>
          <w:bCs w:val="0"/>
        </w:rPr>
        <w:t>实地考察时间：待定，视医院和被考察单位实际工作情况确定。</w:t>
      </w:r>
    </w:p>
    <w:p>
      <w:pPr>
        <w:adjustRightInd w:val="0"/>
        <w:snapToGrid w:val="0"/>
        <w:spacing w:line="336" w:lineRule="auto"/>
        <w:ind w:firstLine="640" w:firstLineChars="200"/>
        <w:rPr>
          <w:rFonts w:ascii="楷体_GB2312" w:eastAsia="楷体_GB2312"/>
          <w:sz w:val="32"/>
          <w:szCs w:val="32"/>
        </w:rPr>
      </w:pPr>
      <w:r>
        <w:rPr>
          <w:rFonts w:hint="eastAsia" w:ascii="楷体_GB2312" w:eastAsia="楷体_GB2312"/>
          <w:sz w:val="32"/>
          <w:szCs w:val="32"/>
        </w:rPr>
        <w:t>（四）综合审议</w:t>
      </w:r>
    </w:p>
    <w:p>
      <w:pPr>
        <w:adjustRightInd w:val="0"/>
        <w:snapToGrid w:val="0"/>
        <w:spacing w:line="336" w:lineRule="auto"/>
        <w:ind w:firstLine="640" w:firstLineChars="200"/>
        <w:rPr>
          <w:rFonts w:ascii="仿宋_GB2312" w:hAnsi="宋体" w:eastAsia="仿宋_GB2312"/>
          <w:sz w:val="32"/>
          <w:szCs w:val="32"/>
        </w:rPr>
      </w:pPr>
      <w:r>
        <w:rPr>
          <w:rFonts w:hint="eastAsia" w:ascii="仿宋_GB2312" w:hAnsi="宋体" w:eastAsia="仿宋_GB2312"/>
          <w:sz w:val="32"/>
          <w:szCs w:val="32"/>
        </w:rPr>
        <w:t>1.遴选小组工作人员根据第一轮现场陈述及第二轮实地考察排名情况，由遴选工作组进行综合评价排序，报</w:t>
      </w:r>
      <w:r>
        <w:rPr>
          <w:rFonts w:hint="eastAsia" w:ascii="仿宋_GB2312" w:hAnsi="宋体" w:eastAsia="仿宋_GB2312"/>
          <w:sz w:val="32"/>
          <w:szCs w:val="32"/>
          <w:lang w:eastAsia="zh-CN"/>
        </w:rPr>
        <w:t>医院</w:t>
      </w:r>
      <w:r>
        <w:rPr>
          <w:rFonts w:hint="eastAsia" w:ascii="仿宋_GB2312" w:hAnsi="宋体" w:eastAsia="仿宋_GB2312"/>
          <w:sz w:val="32"/>
          <w:szCs w:val="32"/>
        </w:rPr>
        <w:t>院长办公会研究决定并提请党委会审定。</w:t>
      </w:r>
    </w:p>
    <w:p>
      <w:pPr>
        <w:adjustRightInd w:val="0"/>
        <w:snapToGrid w:val="0"/>
        <w:spacing w:line="336" w:lineRule="auto"/>
        <w:ind w:firstLine="640" w:firstLineChars="200"/>
        <w:rPr>
          <w:rFonts w:ascii="仿宋_GB2312" w:hAnsi="宋体" w:eastAsia="仿宋_GB2312"/>
          <w:sz w:val="32"/>
          <w:szCs w:val="32"/>
        </w:rPr>
      </w:pPr>
      <w:r>
        <w:rPr>
          <w:rFonts w:hint="eastAsia" w:ascii="仿宋_GB2312" w:hAnsi="宋体" w:eastAsia="仿宋_GB2312"/>
          <w:sz w:val="32"/>
          <w:szCs w:val="32"/>
        </w:rPr>
        <w:t>2.通过医院两会审定后初步确定合作单位，双方根据</w:t>
      </w:r>
      <w:r>
        <w:rPr>
          <w:rFonts w:hint="eastAsia" w:ascii="仿宋_GB2312" w:hAnsi="仿宋" w:eastAsia="仿宋_GB2312" w:cs="宋体"/>
          <w:kern w:val="0"/>
          <w:sz w:val="32"/>
          <w:szCs w:val="32"/>
        </w:rPr>
        <w:t>《智慧煎药中心运行合作框架协议书》（附件1）和评分情况</w:t>
      </w:r>
      <w:r>
        <w:rPr>
          <w:rFonts w:hint="eastAsia" w:ascii="仿宋_GB2312" w:hAnsi="宋体" w:eastAsia="仿宋_GB2312"/>
          <w:sz w:val="32"/>
          <w:szCs w:val="32"/>
        </w:rPr>
        <w:t>共同完善</w:t>
      </w:r>
      <w:r>
        <w:rPr>
          <w:rFonts w:hint="eastAsia" w:ascii="仿宋_GB2312" w:hAnsi="仿宋" w:eastAsia="仿宋_GB2312" w:cs="宋体"/>
          <w:kern w:val="0"/>
          <w:sz w:val="32"/>
          <w:szCs w:val="32"/>
        </w:rPr>
        <w:t>合作协议，</w:t>
      </w:r>
      <w:r>
        <w:rPr>
          <w:rFonts w:hint="eastAsia" w:ascii="仿宋_GB2312" w:hAnsi="宋体" w:eastAsia="仿宋_GB2312"/>
          <w:sz w:val="32"/>
          <w:szCs w:val="32"/>
        </w:rPr>
        <w:t>报市卫生健康委备案。</w:t>
      </w:r>
    </w:p>
    <w:p>
      <w:pPr>
        <w:adjustRightInd w:val="0"/>
        <w:snapToGrid w:val="0"/>
        <w:spacing w:line="336" w:lineRule="auto"/>
        <w:ind w:firstLine="640" w:firstLineChars="200"/>
        <w:rPr>
          <w:rFonts w:ascii="楷体_GB2312" w:eastAsia="楷体_GB2312"/>
          <w:sz w:val="32"/>
          <w:szCs w:val="32"/>
        </w:rPr>
      </w:pPr>
      <w:r>
        <w:rPr>
          <w:rFonts w:hint="eastAsia" w:ascii="楷体_GB2312" w:eastAsia="楷体_GB2312"/>
          <w:sz w:val="32"/>
          <w:szCs w:val="32"/>
        </w:rPr>
        <w:t>（五）结果公示</w:t>
      </w:r>
    </w:p>
    <w:p>
      <w:pPr>
        <w:widowControl/>
        <w:adjustRightInd w:val="0"/>
        <w:snapToGrid w:val="0"/>
        <w:spacing w:line="336" w:lineRule="auto"/>
        <w:ind w:firstLine="640" w:firstLineChars="200"/>
        <w:jc w:val="left"/>
        <w:rPr>
          <w:rFonts w:ascii="仿宋_GB2312" w:hAnsi="宋体" w:eastAsia="仿宋_GB2312" w:cs="宋体"/>
          <w:kern w:val="0"/>
          <w:sz w:val="32"/>
          <w:szCs w:val="32"/>
        </w:rPr>
      </w:pPr>
      <w:r>
        <w:rPr>
          <w:rFonts w:hint="eastAsia" w:ascii="仿宋_GB2312" w:hAnsi="仿宋_GB2312" w:eastAsia="仿宋_GB2312" w:cs="仿宋_GB2312"/>
          <w:sz w:val="32"/>
          <w:szCs w:val="32"/>
        </w:rPr>
        <w:t>医院网站公布拟合作单位，公示期3天。若无异议，则签订具体合作协议。</w:t>
      </w:r>
      <w:r>
        <w:rPr>
          <w:rFonts w:hint="eastAsia" w:ascii="仿宋_GB2312" w:hAnsi="宋体" w:eastAsia="仿宋_GB2312" w:cs="宋体"/>
          <w:kern w:val="0"/>
          <w:sz w:val="32"/>
          <w:szCs w:val="32"/>
        </w:rPr>
        <w:t>医院纪检监察人员对</w:t>
      </w:r>
      <w:r>
        <w:rPr>
          <w:rFonts w:ascii="仿宋_GB2312" w:hAnsi="宋体" w:eastAsia="仿宋_GB2312" w:cs="宋体"/>
          <w:kern w:val="0"/>
          <w:sz w:val="32"/>
          <w:szCs w:val="32"/>
        </w:rPr>
        <w:t>整个</w:t>
      </w:r>
      <w:r>
        <w:rPr>
          <w:rFonts w:hint="eastAsia" w:ascii="仿宋_GB2312" w:hAnsi="宋体" w:eastAsia="仿宋_GB2312" w:cs="宋体"/>
          <w:kern w:val="0"/>
          <w:sz w:val="32"/>
          <w:szCs w:val="32"/>
        </w:rPr>
        <w:t>遴选工作进行全程监督。</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w:t>
      </w:r>
      <w:r>
        <w:rPr>
          <w:rFonts w:hint="eastAsia" w:eastAsia="仿宋_GB2312"/>
          <w:sz w:val="32"/>
          <w:szCs w:val="32"/>
        </w:rPr>
        <w:t>未尽事宜</w:t>
      </w:r>
      <w:r>
        <w:rPr>
          <w:rFonts w:hint="eastAsia" w:ascii="仿宋_GB2312" w:hAnsi="仿宋_GB2312" w:eastAsia="仿宋_GB2312" w:cs="仿宋_GB2312"/>
          <w:sz w:val="32"/>
          <w:szCs w:val="32"/>
        </w:rPr>
        <w:t>敬请联系医院事业发展科，联系人：袁帅，电话：0813-8207954邮箱：1265716007@qq.com</w:t>
      </w:r>
    </w:p>
    <w:p>
      <w:pPr>
        <w:rPr>
          <w:rFonts w:ascii="仿宋_GB2312" w:eastAsia="仿宋_GB2312"/>
          <w:sz w:val="32"/>
          <w:szCs w:val="32"/>
        </w:rPr>
      </w:pPr>
      <w:r>
        <w:rPr>
          <w:rFonts w:hint="eastAsia" w:ascii="仿宋_GB2312" w:hAnsi="仿宋_GB2312" w:eastAsia="仿宋_GB2312" w:cs="仿宋_GB2312"/>
          <w:sz w:val="32"/>
          <w:szCs w:val="32"/>
        </w:rPr>
        <w:t>附件：1.</w:t>
      </w:r>
      <w:r>
        <w:rPr>
          <w:rFonts w:hint="eastAsia" w:ascii="仿宋_GB2312" w:hAnsi="仿宋" w:eastAsia="仿宋_GB2312" w:cs="宋体"/>
          <w:kern w:val="0"/>
          <w:sz w:val="32"/>
          <w:szCs w:val="32"/>
        </w:rPr>
        <w:t>智慧</w:t>
      </w:r>
      <w:r>
        <w:rPr>
          <w:rFonts w:hint="eastAsia" w:ascii="仿宋_GB2312" w:eastAsia="仿宋_GB2312"/>
          <w:sz w:val="32"/>
          <w:szCs w:val="32"/>
        </w:rPr>
        <w:t>煎药中心运行合作框架协议书</w:t>
      </w:r>
    </w:p>
    <w:p>
      <w:pPr>
        <w:ind w:firstLine="960" w:firstLineChars="300"/>
        <w:rPr>
          <w:rFonts w:ascii="仿宋_GB2312" w:hAnsi="仿宋_GB2312" w:eastAsia="仿宋_GB2312" w:cs="仿宋_GB2312"/>
          <w:sz w:val="32"/>
          <w:szCs w:val="32"/>
        </w:rPr>
      </w:pPr>
      <w:r>
        <w:rPr>
          <w:rFonts w:hint="eastAsia" w:ascii="仿宋_GB2312" w:hAnsi="仿宋_GB2312" w:eastAsia="仿宋_GB2312" w:cs="仿宋_GB2312"/>
          <w:sz w:val="32"/>
          <w:szCs w:val="32"/>
        </w:rPr>
        <w:t>2.智慧煎药中心运行合作项目现场陈述评分表</w:t>
      </w:r>
    </w:p>
    <w:p>
      <w:pPr>
        <w:widowControl/>
        <w:wordWrap w:val="0"/>
        <w:spacing w:line="560" w:lineRule="exact"/>
        <w:ind w:firstLine="960" w:firstLineChars="300"/>
        <w:rPr>
          <w:rFonts w:eastAsia="仿宋_GB2312"/>
          <w:spacing w:val="-8"/>
          <w:sz w:val="32"/>
          <w:szCs w:val="32"/>
        </w:rPr>
      </w:pPr>
      <w:r>
        <w:rPr>
          <w:rFonts w:hint="eastAsia" w:ascii="仿宋_GB2312" w:hAnsi="仿宋_GB2312" w:eastAsia="仿宋_GB2312" w:cs="仿宋_GB2312"/>
          <w:sz w:val="32"/>
          <w:szCs w:val="32"/>
        </w:rPr>
        <w:t>3.智慧煎药中心运行合作项目实地考察评分表</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36" w:lineRule="auto"/>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自贡市中医医院</w:t>
      </w:r>
    </w:p>
    <w:p>
      <w:pPr>
        <w:keepNext w:val="0"/>
        <w:keepLines w:val="0"/>
        <w:pageBreakBefore w:val="0"/>
        <w:widowControl w:val="0"/>
        <w:kinsoku/>
        <w:wordWrap/>
        <w:overflowPunct/>
        <w:topLinePunct w:val="0"/>
        <w:autoSpaceDE/>
        <w:autoSpaceDN/>
        <w:bidi w:val="0"/>
        <w:adjustRightInd w:val="0"/>
        <w:snapToGrid w:val="0"/>
        <w:spacing w:line="336" w:lineRule="auto"/>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 xml:space="preserve"> 3月8</w:t>
      </w:r>
      <w:r>
        <w:rPr>
          <w:rFonts w:hint="eastAsia" w:ascii="仿宋_GB2312" w:hAnsi="仿宋_GB2312" w:eastAsia="仿宋_GB2312" w:cs="仿宋_GB2312"/>
          <w:sz w:val="32"/>
          <w:szCs w:val="32"/>
        </w:rPr>
        <w:t>日</w:t>
      </w:r>
    </w:p>
    <w:p>
      <w:pPr>
        <w:pStyle w:val="3"/>
        <w:ind w:firstLine="320"/>
        <w:rPr>
          <w:rFonts w:ascii="黑体" w:hAnsi="黑体" w:eastAsia="黑体" w:cs="黑体"/>
          <w:kern w:val="0"/>
          <w:sz w:val="32"/>
          <w:szCs w:val="32"/>
        </w:rPr>
      </w:pPr>
    </w:p>
    <w:p>
      <w:pPr>
        <w:pStyle w:val="3"/>
        <w:ind w:firstLine="320"/>
        <w:rPr>
          <w:rFonts w:ascii="黑体" w:hAnsi="黑体" w:eastAsia="黑体" w:cs="黑体"/>
          <w:kern w:val="0"/>
          <w:sz w:val="32"/>
          <w:szCs w:val="32"/>
        </w:rPr>
      </w:pPr>
    </w:p>
    <w:p>
      <w:pPr>
        <w:pStyle w:val="3"/>
        <w:ind w:firstLine="320"/>
        <w:rPr>
          <w:rFonts w:ascii="黑体" w:hAnsi="黑体" w:eastAsia="黑体" w:cs="黑体"/>
          <w:kern w:val="0"/>
          <w:sz w:val="32"/>
          <w:szCs w:val="32"/>
        </w:rPr>
      </w:pPr>
    </w:p>
    <w:p>
      <w:pPr>
        <w:pStyle w:val="3"/>
        <w:ind w:firstLine="320"/>
        <w:rPr>
          <w:rFonts w:ascii="黑体" w:hAnsi="黑体" w:eastAsia="黑体" w:cs="黑体"/>
          <w:kern w:val="0"/>
          <w:sz w:val="32"/>
          <w:szCs w:val="32"/>
        </w:rPr>
      </w:pPr>
    </w:p>
    <w:p>
      <w:pPr>
        <w:pStyle w:val="3"/>
        <w:ind w:firstLine="320"/>
        <w:rPr>
          <w:rFonts w:ascii="黑体" w:hAnsi="黑体" w:eastAsia="黑体" w:cs="黑体"/>
          <w:kern w:val="0"/>
          <w:sz w:val="32"/>
          <w:szCs w:val="32"/>
        </w:rPr>
      </w:pPr>
    </w:p>
    <w:p>
      <w:pPr>
        <w:pStyle w:val="3"/>
        <w:ind w:firstLine="320"/>
        <w:rPr>
          <w:rFonts w:ascii="黑体" w:hAnsi="黑体" w:eastAsia="黑体" w:cs="黑体"/>
          <w:kern w:val="0"/>
          <w:sz w:val="32"/>
          <w:szCs w:val="32"/>
        </w:rPr>
      </w:pPr>
    </w:p>
    <w:p>
      <w:pPr>
        <w:pStyle w:val="3"/>
        <w:ind w:firstLine="320"/>
        <w:rPr>
          <w:rFonts w:ascii="黑体" w:hAnsi="黑体" w:eastAsia="黑体" w:cs="黑体"/>
          <w:kern w:val="0"/>
          <w:sz w:val="32"/>
          <w:szCs w:val="32"/>
        </w:rPr>
      </w:pPr>
    </w:p>
    <w:p>
      <w:pPr>
        <w:pStyle w:val="3"/>
        <w:ind w:firstLine="320"/>
        <w:rPr>
          <w:rFonts w:ascii="黑体" w:hAnsi="黑体" w:eastAsia="黑体" w:cs="黑体"/>
          <w:kern w:val="0"/>
          <w:sz w:val="32"/>
          <w:szCs w:val="32"/>
        </w:rPr>
      </w:pPr>
    </w:p>
    <w:p>
      <w:pPr>
        <w:pStyle w:val="3"/>
        <w:ind w:firstLine="320"/>
        <w:rPr>
          <w:rFonts w:ascii="黑体" w:hAnsi="黑体" w:eastAsia="黑体" w:cs="黑体"/>
          <w:kern w:val="0"/>
          <w:sz w:val="32"/>
          <w:szCs w:val="32"/>
        </w:rPr>
      </w:pPr>
    </w:p>
    <w:p>
      <w:pPr>
        <w:pStyle w:val="3"/>
        <w:ind w:firstLine="320"/>
        <w:rPr>
          <w:rFonts w:ascii="黑体" w:hAnsi="黑体" w:eastAsia="黑体" w:cs="黑体"/>
          <w:kern w:val="0"/>
          <w:sz w:val="32"/>
          <w:szCs w:val="32"/>
        </w:rPr>
      </w:pPr>
    </w:p>
    <w:p>
      <w:pPr>
        <w:rPr>
          <w:rFonts w:ascii="仿宋_GB2312" w:eastAsia="仿宋_GB2312"/>
          <w:sz w:val="32"/>
          <w:szCs w:val="32"/>
        </w:rPr>
      </w:pPr>
      <w:r>
        <w:rPr>
          <w:rFonts w:hint="eastAsia" w:ascii="黑体" w:hAnsi="黑体" w:eastAsia="黑体" w:cs="黑体"/>
          <w:kern w:val="0"/>
          <w:sz w:val="32"/>
          <w:szCs w:val="32"/>
        </w:rPr>
        <w:t>附件1：</w:t>
      </w:r>
    </w:p>
    <w:p>
      <w:pPr>
        <w:pStyle w:val="4"/>
        <w:widowControl/>
        <w:adjustRightInd w:val="0"/>
        <w:snapToGrid w:val="0"/>
        <w:spacing w:before="0" w:beforeAutospacing="0" w:after="0" w:afterAutospacing="0" w:line="336" w:lineRule="auto"/>
        <w:jc w:val="center"/>
        <w:rPr>
          <w:rFonts w:hint="default" w:ascii="方正小标宋简体" w:hAnsi="方正小标宋简体" w:eastAsia="方正小标宋简体" w:cs="方正小标宋简体"/>
          <w:sz w:val="44"/>
          <w:szCs w:val="44"/>
        </w:rPr>
      </w:pPr>
      <w:r>
        <w:rPr>
          <w:rFonts w:ascii="方正小标宋简体" w:hAnsi="方正小标宋简体" w:eastAsia="方正小标宋简体" w:cs="方正小标宋简体"/>
          <w:b w:val="0"/>
          <w:sz w:val="44"/>
          <w:szCs w:val="44"/>
        </w:rPr>
        <w:t>智慧煎药中心运行合作框架协议书</w:t>
      </w:r>
    </w:p>
    <w:p>
      <w:pPr>
        <w:adjustRightInd w:val="0"/>
        <w:snapToGrid w:val="0"/>
        <w:spacing w:line="336" w:lineRule="auto"/>
        <w:ind w:left="180" w:right="-512"/>
        <w:jc w:val="center"/>
        <w:rPr>
          <w:rFonts w:ascii="宋体" w:hAnsi="宋体"/>
          <w:sz w:val="24"/>
        </w:rPr>
      </w:pPr>
    </w:p>
    <w:p>
      <w:pPr>
        <w:adjustRightInd w:val="0"/>
        <w:snapToGrid w:val="0"/>
        <w:spacing w:line="336" w:lineRule="auto"/>
        <w:rPr>
          <w:rFonts w:ascii="仿宋_GB2312" w:hAnsi="仿宋" w:eastAsia="仿宋_GB2312" w:cs="仿宋"/>
          <w:sz w:val="32"/>
          <w:szCs w:val="32"/>
        </w:rPr>
      </w:pPr>
      <w:r>
        <w:rPr>
          <w:rFonts w:hint="eastAsia" w:ascii="仿宋_GB2312" w:hAnsi="仿宋" w:eastAsia="仿宋_GB2312" w:cs="仿宋"/>
          <w:sz w:val="32"/>
          <w:szCs w:val="32"/>
        </w:rPr>
        <w:t>甲方：</w:t>
      </w:r>
      <w:r>
        <w:rPr>
          <w:rFonts w:hint="eastAsia" w:ascii="仿宋_GB2312" w:hAnsi="仿宋" w:eastAsia="仿宋_GB2312" w:cs="仿宋"/>
          <w:sz w:val="32"/>
          <w:szCs w:val="32"/>
          <w:u w:val="single"/>
        </w:rPr>
        <w:t xml:space="preserve">自贡市中医医院 </w:t>
      </w:r>
    </w:p>
    <w:p>
      <w:pPr>
        <w:adjustRightInd w:val="0"/>
        <w:snapToGrid w:val="0"/>
        <w:spacing w:line="336" w:lineRule="auto"/>
        <w:rPr>
          <w:rFonts w:ascii="仿宋_GB2312" w:hAnsi="仿宋" w:eastAsia="仿宋_GB2312" w:cs="仿宋"/>
          <w:sz w:val="32"/>
          <w:szCs w:val="32"/>
          <w:u w:val="single"/>
        </w:rPr>
      </w:pPr>
      <w:r>
        <w:rPr>
          <w:rFonts w:hint="eastAsia" w:ascii="仿宋_GB2312" w:hAnsi="仿宋" w:eastAsia="仿宋_GB2312" w:cs="仿宋"/>
          <w:sz w:val="32"/>
          <w:szCs w:val="32"/>
        </w:rPr>
        <w:t>乙方：</w:t>
      </w:r>
      <w:r>
        <w:rPr>
          <w:rFonts w:hint="eastAsia" w:ascii="仿宋_GB2312" w:hAnsi="仿宋" w:eastAsia="仿宋_GB2312" w:cs="仿宋"/>
          <w:sz w:val="32"/>
          <w:szCs w:val="32"/>
          <w:u w:val="single"/>
        </w:rPr>
        <w:t xml:space="preserve">               </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关于加强药事管理转变药学服务模式的通知》（国卫办医发〔2017〕26号）、《关于深入开展“互联网+医疗健康”便民惠民活动的通知》（国卫规划发〔2018〕22号）、《关于印发四川省推进“互联网+医疗健康”示范省建设实施方案的通知》（川办发〔2019〕64号）</w:t>
      </w:r>
      <w:r>
        <w:rPr>
          <w:rFonts w:hint="eastAsia" w:ascii="仿宋_GB2312" w:hAnsi="仿宋_GB2312" w:eastAsia="仿宋_GB2312" w:cs="仿宋_GB2312"/>
          <w:sz w:val="32"/>
          <w:szCs w:val="32"/>
          <w:lang w:eastAsia="zh-CN"/>
        </w:rPr>
        <w:t>文件</w:t>
      </w:r>
      <w:r>
        <w:rPr>
          <w:rFonts w:hint="eastAsia" w:ascii="仿宋_GB2312" w:hAnsi="仿宋_GB2312" w:eastAsia="仿宋_GB2312" w:cs="仿宋_GB2312"/>
          <w:sz w:val="32"/>
          <w:szCs w:val="32"/>
        </w:rPr>
        <w:t>要求，积极开展特色中药服务，实现中药饮片代煎、配送等一些列便民惠民服务。按照相关法律法规和政策要求，甲乙双方经平等、自愿、协商一致，就开展智慧煎药中心运行合作项目事宜达成以下协议：</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第一条   合作目的</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实现智慧煎药中心的规范化、智能化、信息化管理，进一步提升中医特色服务能力，为群众提供优质、方便、快捷的中药煎药服务，更好地满足群众对中医药服务的需求，建成立足自贡、辐射川南、具有区域影响力的智慧煎药中心。</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第二条   合作原则</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（一）甲方负责提供智慧煎药中心场地、首批设备，负责派专业药师对饮片质量、煎药质量、工艺流程等工作进行监督，对相关内部流程进行综合协调。</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（二）乙方负责智慧煎药中心的运行、管理、维护等服务。</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第三条  合作内容</w:t>
      </w:r>
    </w:p>
    <w:p>
      <w:pPr>
        <w:adjustRightInd w:val="0"/>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（一）合作目标</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1.满足甲方三个院区门诊、住院病人煎药需求。服务规模满足1200张床位的住院患者及年门诊约40万人次的需求,日代煎量约200张处方。</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2.在满足医院煎药量的前提下，允许合作方积极对外承接煎药服务，进一步提升智慧煎药中心区域影响力。</w:t>
      </w:r>
    </w:p>
    <w:p>
      <w:pPr>
        <w:adjustRightInd w:val="0"/>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（二）运行管理</w:t>
      </w:r>
    </w:p>
    <w:p>
      <w:pPr>
        <w:pStyle w:val="2"/>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负责按《医疗机构中药煎药室管理规范》的有关规定，负责煎药中心运行、维护、安全管理。甲方负责指派专业药师不定期对智慧煎药中心饮片质量、煎药质量、工艺流程、综合协调等工作进行监督及业务指导。</w:t>
      </w:r>
    </w:p>
    <w:p>
      <w:pPr>
        <w:adjustRightInd w:val="0"/>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（三）人员配置</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乙方必须为智慧煎药中心配备符合相关规定要求的工作团队满足智慧煎药中心运转。</w:t>
      </w:r>
    </w:p>
    <w:p>
      <w:pPr>
        <w:adjustRightInd w:val="0"/>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（四）中药饮片供给与管理</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智慧煎药中心中药饮片原则上由乙方提供，中药饮片应符合《中华人民共和国药典》或地方《中药饮片炮制规范》的法定质量标准要求，确保实际用药安全有效。</w:t>
      </w:r>
    </w:p>
    <w:p>
      <w:pPr>
        <w:adjustRightInd w:val="0"/>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（五）设备管理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1.甲方提供智慧煎药中心的设备，由甲乙双方共同清点后列出清单统一委托乙方管理，设备所有权属于甲方。</w:t>
      </w:r>
    </w:p>
    <w:p>
      <w:pPr>
        <w:ind w:firstLine="640" w:firstLineChars="200"/>
        <w:rPr>
          <w:rFonts w:eastAsia="仿宋_GB2312"/>
        </w:rPr>
      </w:pPr>
      <w:r>
        <w:rPr>
          <w:rFonts w:hint="eastAsia" w:ascii="仿宋_GB2312" w:hAnsi="仿宋_GB2312" w:eastAsia="仿宋_GB2312" w:cs="仿宋_GB2312"/>
          <w:sz w:val="32"/>
          <w:szCs w:val="32"/>
        </w:rPr>
        <w:t>2.乙方提供的办公用品、物品，所有权属于乙方，使用权属于甲、乙双方。</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若因现智慧煎药中心不能满足医院需要而扩建，需另行投入设备，由甲乙双方协商另行签订补充协议。若因现智慧煎药中心拓展外部市场，需要新购设备，由乙方自行承担。若因紧急情况下需投入设备的，由乙方提供，满足应急需要。</w:t>
      </w:r>
    </w:p>
    <w:p>
      <w:pPr>
        <w:ind w:firstLine="640" w:firstLineChars="200"/>
      </w:pPr>
      <w:r>
        <w:rPr>
          <w:rFonts w:hint="eastAsia" w:ascii="仿宋_GB2312" w:hAnsi="仿宋_GB2312" w:eastAsia="仿宋_GB2312" w:cs="仿宋_GB2312"/>
          <w:sz w:val="32"/>
          <w:szCs w:val="32"/>
        </w:rPr>
        <w:t>4.合作期间乙方为满足煎药中心高效运行投入的设施设备，所有权属于乙方。合作期满，乙方投入的设施设备可以带走，也可经双方协商后按《政府会计制度》规定的折旧年限，按折旧后的资产净值1‰（千分之一）出售给医院。</w:t>
      </w:r>
    </w:p>
    <w:p>
      <w:pPr>
        <w:adjustRightInd w:val="0"/>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（六）服务要求</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乙方须合理安排中药处方的调剂、复核、煎煮及配送服务。</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应保证严格按照《医疗机构中药煎药室管理规范》中的煎药操作方法规定规范操作，并按甲方要求的时间、地点配送，不得延误。</w:t>
      </w:r>
    </w:p>
    <w:p>
      <w:pPr>
        <w:adjustRightInd w:val="0"/>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（七）质量监督</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甲方有权随时赴实地检查或抽查，以确保调剂和煎药质量，乙方必须无条件接受甲方监管。乙方须对调剂、煎药的质量负责，应加强中药代煎全过程的质量监管，建立健全煎药质量的跟踪、追溯、监控体系，做到“</w:t>
      </w:r>
      <w:r>
        <w:rPr>
          <w:rFonts w:ascii="仿宋_GB2312" w:hAnsi="仿宋_GB2312" w:eastAsia="仿宋_GB2312" w:cs="仿宋_GB2312"/>
          <w:sz w:val="32"/>
          <w:szCs w:val="32"/>
        </w:rPr>
        <w:t>一切行为有规范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有记录、有复核、可追溯</w:t>
      </w:r>
      <w:r>
        <w:rPr>
          <w:rFonts w:hint="eastAsia" w:ascii="仿宋_GB2312" w:hAnsi="仿宋_GB2312" w:eastAsia="仿宋_GB2312" w:cs="仿宋_GB2312"/>
          <w:sz w:val="32"/>
          <w:szCs w:val="32"/>
        </w:rPr>
        <w:t>”。</w:t>
      </w:r>
    </w:p>
    <w:p>
      <w:pPr>
        <w:adjustRightInd w:val="0"/>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（八）信息化系统建设</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乙方负责建设网络专线与甲方系统对接，并负责保障专线的通畅及安全，接口费用、系统升级相关费用由乙方承担。</w:t>
      </w:r>
    </w:p>
    <w:p>
      <w:pPr>
        <w:adjustRightInd w:val="0"/>
        <w:snapToGrid w:val="0"/>
        <w:spacing w:line="336" w:lineRule="auto"/>
        <w:ind w:firstLine="643" w:firstLineChars="200"/>
        <w:rPr>
          <w:rFonts w:ascii="仿宋_GB2312" w:hAnsi="仿宋_GB2312" w:eastAsia="仿宋_GB2312" w:cs="仿宋_GB2312"/>
          <w:sz w:val="32"/>
          <w:szCs w:val="32"/>
        </w:rPr>
      </w:pPr>
      <w:r>
        <w:rPr>
          <w:rFonts w:hint="eastAsia" w:ascii="楷体_GB2312" w:hAnsi="楷体_GB2312" w:eastAsia="楷体_GB2312" w:cs="楷体_GB2312"/>
          <w:b/>
          <w:bCs/>
          <w:sz w:val="32"/>
          <w:szCs w:val="32"/>
        </w:rPr>
        <w:t>（九）配送服务</w:t>
      </w:r>
      <w:r>
        <w:rPr>
          <w:rFonts w:hint="eastAsia" w:ascii="仿宋_GB2312" w:hAnsi="仿宋_GB2312" w:eastAsia="仿宋_GB2312" w:cs="仿宋_GB2312"/>
          <w:sz w:val="32"/>
          <w:szCs w:val="32"/>
        </w:rPr>
        <w:t xml:space="preserve">                                                                   </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1.配送的地点。乙方应按照患者的意愿选择配送至甲方药房或患者指定地址。</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配送的时间。乙方自接到甲方推送的处方时起，应及时煎煮、配送至甲方三个院区中药房窗口。卧龙湖院区应满足当日下午3点前开具的处方，应4小时内配送到位。马冲口、汇东院区上午12点前开具的处方，应于当日下午配送到位；下午开具的处方应于次日上午11点前配送到位。乙方同时应为患者到智慧煎药中心自取提供相应发放服务。需要定点邮寄到患者指定地址的，市内应不超过24小时，市外不超过48小时。</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3.配送的费用。乙方免费配送到甲方三个药房；</w:t>
      </w:r>
      <w:r>
        <w:rPr>
          <w:rFonts w:hint="eastAsia" w:ascii="仿宋_GB2312" w:hAnsi="仿宋" w:eastAsia="仿宋_GB2312" w:cs="仿宋"/>
          <w:sz w:val="32"/>
          <w:szCs w:val="32"/>
        </w:rPr>
        <w:t>自贡市地域内配送费由乙方承担；市外由第三方物流向患者直接收取。</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第四条   业务指导及服务费用</w:t>
      </w:r>
    </w:p>
    <w:p>
      <w:pPr>
        <w:adjustRightInd w:val="0"/>
        <w:snapToGrid w:val="0"/>
        <w:spacing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（一）业务指导</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1.甲方每月派专家到乙方进行业务培训和指导，乙方支付甲方专家 “咨询服务”费，费用标准按1.5万元/人/月，人员数量不低于2人</w:t>
      </w:r>
      <w:r>
        <w:rPr>
          <w:rFonts w:hint="eastAsia" w:ascii="仿宋_GB2312" w:hAnsi="仿宋_GB2312" w:eastAsia="仿宋_GB2312" w:cs="仿宋_GB2312"/>
          <w:color w:val="auto"/>
          <w:sz w:val="32"/>
          <w:szCs w:val="32"/>
        </w:rPr>
        <w:t>（具体人员数量需遴选后确定）。</w:t>
      </w:r>
    </w:p>
    <w:p>
      <w:pPr>
        <w:adjustRightInd w:val="0"/>
        <w:snapToGrid w:val="0"/>
        <w:spacing w:line="336" w:lineRule="auto"/>
        <w:ind w:firstLine="643" w:firstLineChars="200"/>
        <w:rPr>
          <w:rFonts w:ascii="仿宋_GB2312" w:hAnsi="仿宋_GB2312" w:eastAsia="楷体_GB2312" w:cs="仿宋_GB2312"/>
          <w:sz w:val="32"/>
          <w:szCs w:val="32"/>
        </w:rPr>
      </w:pPr>
      <w:r>
        <w:rPr>
          <w:rFonts w:hint="eastAsia" w:ascii="楷体_GB2312" w:hAnsi="楷体_GB2312" w:eastAsia="楷体_GB2312" w:cs="楷体_GB2312"/>
          <w:b/>
          <w:bCs/>
          <w:sz w:val="32"/>
          <w:szCs w:val="32"/>
        </w:rPr>
        <w:t>（二）煎药费用约定</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1.本院煎药费。煎药费按5元/付，由甲方统一向患者收取，乙方可按每付不高于20%向甲方收取煎药人工费（具体比例需遴选后确定）。</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对外煎药费。乙方在满足甲方需要的情况下可开展对外煎药合作，由乙方单独与其他合作方签订协议，承担一切安全和质量责任。煎药费由乙方与其他合作方自行约定。乙方须向甲方支付的煎药费不低于乙方收取煎药费的20%。（具体比例需遴选后确定）。</w:t>
      </w:r>
    </w:p>
    <w:p>
      <w:pPr>
        <w:pStyle w:val="2"/>
        <w:adjustRightInd w:val="0"/>
        <w:snapToGrid w:val="0"/>
        <w:spacing w:after="0" w:line="336" w:lineRule="auto"/>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（三）水、电、气费用约定</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乙方负责智慧煎药中心水、电、气、保洁等费用，按月按实向医院支付费用。甲方负责为智慧煎药中心设置独立的水、电、气表。</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第十条   协议生效及有效期</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合作期限为</w:t>
      </w:r>
      <w:r>
        <w:rPr>
          <w:rFonts w:hint="eastAsia" w:ascii="仿宋_GB2312" w:hAnsi="仿宋_GB2312" w:eastAsia="仿宋_GB2312" w:cs="仿宋_GB2312"/>
          <w:sz w:val="32"/>
          <w:szCs w:val="32"/>
          <w:u w:val="single"/>
        </w:rPr>
        <w:t xml:space="preserve"> 5</w:t>
      </w:r>
      <w:r>
        <w:rPr>
          <w:rFonts w:hint="eastAsia" w:ascii="仿宋_GB2312" w:hAnsi="仿宋_GB2312" w:eastAsia="仿宋_GB2312" w:cs="仿宋_GB2312"/>
          <w:sz w:val="32"/>
          <w:szCs w:val="32"/>
        </w:rPr>
        <w:t>年，本协议经双方签字盖章之日起生效，协议期满自动终止合作。本协议一式</w:t>
      </w:r>
      <w:r>
        <w:rPr>
          <w:rFonts w:hint="eastAsia" w:ascii="仿宋_GB2312" w:hAnsi="仿宋_GB2312" w:eastAsia="仿宋_GB2312" w:cs="仿宋_GB2312"/>
          <w:sz w:val="32"/>
          <w:szCs w:val="32"/>
          <w:u w:val="single"/>
        </w:rPr>
        <w:t>肆</w:t>
      </w:r>
      <w:r>
        <w:rPr>
          <w:rFonts w:hint="eastAsia" w:ascii="仿宋_GB2312" w:hAnsi="仿宋_GB2312" w:eastAsia="仿宋_GB2312" w:cs="仿宋_GB2312"/>
          <w:sz w:val="32"/>
          <w:szCs w:val="32"/>
        </w:rPr>
        <w:t>份，双方各执</w:t>
      </w:r>
      <w:r>
        <w:rPr>
          <w:rFonts w:hint="eastAsia" w:ascii="仿宋_GB2312" w:hAnsi="仿宋_GB2312" w:eastAsia="仿宋_GB2312" w:cs="仿宋_GB2312"/>
          <w:sz w:val="32"/>
          <w:szCs w:val="32"/>
          <w:u w:val="single"/>
        </w:rPr>
        <w:t>贰</w:t>
      </w:r>
      <w:r>
        <w:rPr>
          <w:rFonts w:hint="eastAsia" w:ascii="仿宋_GB2312" w:hAnsi="仿宋_GB2312" w:eastAsia="仿宋_GB2312" w:cs="仿宋_GB2312"/>
          <w:sz w:val="32"/>
          <w:szCs w:val="32"/>
        </w:rPr>
        <w:t>份，每一份具有同等法律效力。</w:t>
      </w:r>
    </w:p>
    <w:p>
      <w:pPr>
        <w:adjustRightInd w:val="0"/>
        <w:snapToGrid w:val="0"/>
        <w:spacing w:line="336" w:lineRule="auto"/>
        <w:ind w:firstLine="640" w:firstLineChars="200"/>
        <w:rPr>
          <w:rFonts w:ascii="黑体" w:hAnsi="黑体" w:eastAsia="黑体" w:cs="黑体"/>
          <w:sz w:val="32"/>
          <w:szCs w:val="32"/>
        </w:rPr>
      </w:pPr>
      <w:r>
        <w:rPr>
          <w:rFonts w:hint="eastAsia" w:ascii="黑体" w:hAnsi="黑体" w:eastAsia="黑体" w:cs="黑体"/>
          <w:sz w:val="32"/>
          <w:szCs w:val="32"/>
        </w:rPr>
        <w:t>第十一条   其他</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（一）本协议为框架性协议，具体合作事宜应在此协议基础上进一步研究和协商，并另行签署具体的合作项目协议。</w:t>
      </w:r>
    </w:p>
    <w:p>
      <w:pPr>
        <w:adjustRightInd w:val="0"/>
        <w:snapToGrid w:val="0"/>
        <w:spacing w:line="336"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（二）未尽事宜，按照《中华人民共和国民法典》《中国人民共和国药品管理办法》《处方管理办法》《医院中药饮片管理规范》和《医疗机构中药煎药室管理规范》等相关法律法规执行。</w:t>
      </w: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甲方 （盖章）：             乙方（盖章）：</w:t>
      </w:r>
    </w:p>
    <w:p>
      <w:pPr>
        <w:adjustRightInd w:val="0"/>
        <w:snapToGrid w:val="0"/>
        <w:spacing w:line="336" w:lineRule="auto"/>
        <w:rPr>
          <w:rFonts w:ascii="仿宋_GB2312" w:hAnsi="仿宋_GB2312" w:eastAsia="仿宋_GB2312" w:cs="仿宋_GB2312"/>
          <w:sz w:val="32"/>
          <w:szCs w:val="32"/>
        </w:rPr>
      </w:pP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授权代表（签字）：         授权代表（签字）：</w:t>
      </w:r>
    </w:p>
    <w:p>
      <w:pPr>
        <w:adjustRightInd w:val="0"/>
        <w:snapToGrid w:val="0"/>
        <w:spacing w:line="336" w:lineRule="auto"/>
        <w:rPr>
          <w:rFonts w:ascii="仿宋_GB2312" w:hAnsi="仿宋_GB2312" w:eastAsia="仿宋_GB2312" w:cs="仿宋_GB2312"/>
          <w:sz w:val="32"/>
          <w:szCs w:val="32"/>
        </w:rPr>
      </w:pPr>
    </w:p>
    <w:p>
      <w:pPr>
        <w:adjustRightInd w:val="0"/>
        <w:snapToGrid w:val="0"/>
        <w:spacing w:line="336"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    签订日期：   年   月   日</w:t>
      </w:r>
    </w:p>
    <w:p>
      <w:pPr>
        <w:widowControl/>
        <w:spacing w:before="100" w:beforeAutospacing="1" w:after="100" w:afterAutospacing="1" w:line="560" w:lineRule="exact"/>
        <w:rPr>
          <w:rFonts w:ascii="黑体" w:hAnsi="黑体" w:eastAsia="黑体" w:cs="黑体"/>
          <w:kern w:val="0"/>
          <w:sz w:val="32"/>
          <w:szCs w:val="32"/>
        </w:rPr>
      </w:pPr>
    </w:p>
    <w:p>
      <w:pPr>
        <w:widowControl/>
        <w:spacing w:before="100" w:beforeAutospacing="1" w:after="100" w:afterAutospacing="1" w:line="560" w:lineRule="exact"/>
        <w:rPr>
          <w:rFonts w:ascii="黑体" w:hAnsi="黑体" w:eastAsia="黑体" w:cs="黑体"/>
          <w:kern w:val="0"/>
          <w:sz w:val="32"/>
          <w:szCs w:val="32"/>
        </w:rPr>
      </w:pPr>
    </w:p>
    <w:p>
      <w:pPr>
        <w:widowControl/>
        <w:spacing w:before="100" w:beforeAutospacing="1" w:after="100" w:afterAutospacing="1" w:line="560" w:lineRule="exact"/>
        <w:rPr>
          <w:rFonts w:ascii="黑体" w:hAnsi="黑体" w:eastAsia="黑体" w:cs="黑体"/>
          <w:kern w:val="0"/>
          <w:sz w:val="32"/>
          <w:szCs w:val="32"/>
        </w:rPr>
        <w:sectPr>
          <w:footerReference r:id="rId3" w:type="default"/>
          <w:pgSz w:w="11906" w:h="16838"/>
          <w:pgMar w:top="1440" w:right="1361" w:bottom="1440" w:left="1531" w:header="851" w:footer="992" w:gutter="0"/>
          <w:cols w:space="0" w:num="1"/>
          <w:docGrid w:type="lines" w:linePitch="317" w:charSpace="0"/>
        </w:sectPr>
      </w:pPr>
    </w:p>
    <w:p>
      <w:pPr>
        <w:widowControl/>
        <w:spacing w:before="100" w:beforeAutospacing="1" w:after="100" w:afterAutospacing="1" w:line="560" w:lineRule="exact"/>
        <w:rPr>
          <w:rFonts w:ascii="黑体" w:hAnsi="黑体" w:eastAsia="黑体" w:cs="黑体"/>
          <w:kern w:val="0"/>
          <w:sz w:val="32"/>
          <w:szCs w:val="32"/>
        </w:rPr>
      </w:pPr>
      <w:r>
        <w:rPr>
          <w:rFonts w:hint="eastAsia" w:ascii="黑体" w:hAnsi="黑体" w:eastAsia="黑体" w:cs="黑体"/>
          <w:kern w:val="0"/>
          <w:sz w:val="32"/>
          <w:szCs w:val="32"/>
        </w:rPr>
        <w:t>附件2：</w:t>
      </w:r>
    </w:p>
    <w:tbl>
      <w:tblPr>
        <w:tblStyle w:val="19"/>
        <w:tblW w:w="0" w:type="auto"/>
        <w:tblInd w:w="91" w:type="dxa"/>
        <w:tblLayout w:type="autofit"/>
        <w:tblCellMar>
          <w:top w:w="0" w:type="dxa"/>
          <w:left w:w="108" w:type="dxa"/>
          <w:bottom w:w="0" w:type="dxa"/>
          <w:right w:w="108" w:type="dxa"/>
        </w:tblCellMar>
      </w:tblPr>
      <w:tblGrid>
        <w:gridCol w:w="698"/>
        <w:gridCol w:w="1176"/>
        <w:gridCol w:w="698"/>
        <w:gridCol w:w="698"/>
        <w:gridCol w:w="6150"/>
        <w:gridCol w:w="4557"/>
      </w:tblGrid>
      <w:tr>
        <w:tblPrEx>
          <w:tblCellMar>
            <w:top w:w="0" w:type="dxa"/>
            <w:left w:w="108" w:type="dxa"/>
            <w:bottom w:w="0" w:type="dxa"/>
            <w:right w:w="108" w:type="dxa"/>
          </w:tblCellMar>
        </w:tblPrEx>
        <w:trPr>
          <w:trHeight w:val="257" w:hRule="atLeast"/>
        </w:trPr>
        <w:tc>
          <w:tcPr>
            <w:tcW w:w="13977" w:type="dxa"/>
            <w:gridSpan w:val="6"/>
            <w:tcBorders>
              <w:top w:val="nil"/>
              <w:left w:val="nil"/>
              <w:bottom w:val="nil"/>
              <w:right w:val="nil"/>
            </w:tcBorders>
            <w:shd w:val="clear" w:color="auto" w:fill="auto"/>
            <w:vAlign w:val="center"/>
          </w:tcPr>
          <w:p>
            <w:pPr>
              <w:widowControl/>
              <w:jc w:val="center"/>
              <w:textAlignment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kern w:val="0"/>
                <w:sz w:val="28"/>
                <w:szCs w:val="28"/>
                <w:lang w:bidi="ar"/>
              </w:rPr>
              <w:t>智慧煎药中心运行合作项目现场陈述评分表</w:t>
            </w:r>
          </w:p>
        </w:tc>
      </w:tr>
      <w:tr>
        <w:tblPrEx>
          <w:tblCellMar>
            <w:top w:w="0" w:type="dxa"/>
            <w:left w:w="108" w:type="dxa"/>
            <w:bottom w:w="0" w:type="dxa"/>
            <w:right w:w="108" w:type="dxa"/>
          </w:tblCellMar>
        </w:tblPrEx>
        <w:trPr>
          <w:trHeight w:val="31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评分项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细项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sz w:val="24"/>
              </w:rPr>
              <w:t>评价内容</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sz w:val="24"/>
              </w:rPr>
              <w:t>评分标准</w:t>
            </w:r>
          </w:p>
        </w:tc>
      </w:tr>
      <w:tr>
        <w:tblPrEx>
          <w:tblCellMar>
            <w:top w:w="0" w:type="dxa"/>
            <w:left w:w="108" w:type="dxa"/>
            <w:bottom w:w="0" w:type="dxa"/>
            <w:right w:w="108" w:type="dxa"/>
          </w:tblCellMar>
        </w:tblPrEx>
        <w:trPr>
          <w:trHeight w:val="103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公司实力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150" w:type="dxa"/>
            <w:tcBorders>
              <w:top w:val="nil"/>
              <w:left w:val="nil"/>
              <w:bottom w:val="nil"/>
              <w:right w:val="nil"/>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具备中药饮片经营资质及满足煎药中心运营的专业技术能力。必须配备执业药师，复核人员及审方人员均为药学专业药师及以上职称。</w:t>
            </w:r>
          </w:p>
        </w:tc>
        <w:tc>
          <w:tcPr>
            <w:tcW w:w="455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能提供单位营业执照、资质证书等资质证明资料和人员配置计划表。不齐全、不提供不得分。</w:t>
            </w:r>
          </w:p>
        </w:tc>
      </w:tr>
      <w:tr>
        <w:tblPrEx>
          <w:tblCellMar>
            <w:top w:w="0" w:type="dxa"/>
            <w:left w:w="108" w:type="dxa"/>
            <w:bottom w:w="0" w:type="dxa"/>
            <w:right w:w="108" w:type="dxa"/>
          </w:tblCellMar>
        </w:tblPrEx>
        <w:trPr>
          <w:trHeight w:val="1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sz w:val="24"/>
              </w:rPr>
              <w:t>15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可提供中药饮片品种数达到400种以上；货源充足、稳定，质量可控，提供中药饮片供应来源清单。</w:t>
            </w:r>
          </w:p>
          <w:p>
            <w:pPr>
              <w:widowControl/>
              <w:jc w:val="left"/>
              <w:textAlignment w:val="center"/>
              <w:rPr>
                <w:rFonts w:ascii="仿宋_GB2312" w:hAnsi="宋体" w:eastAsia="仿宋_GB2312" w:cs="仿宋_GB2312"/>
                <w:sz w:val="24"/>
              </w:rPr>
            </w:pP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中药饮片供应厂家饮片品种来源集中，能在3-8家供应厂家内组织供应的得13分；中药饮片供应厂家饮片品种来源较为集中，在9-12家供应厂家内组织供应的得11分；中药饮片供应厂家饮片品种来源分散，供应厂商达13家及以上的得9分；不能保证货源充足、稳定，质量可控或不能提供中药饮片供应来源清单的不得分。自贡市应急物资药品储备企业加2分，不是不加分。</w:t>
            </w:r>
          </w:p>
        </w:tc>
      </w:tr>
      <w:tr>
        <w:tblPrEx>
          <w:tblCellMar>
            <w:top w:w="0" w:type="dxa"/>
            <w:left w:w="108" w:type="dxa"/>
            <w:bottom w:w="0" w:type="dxa"/>
            <w:right w:w="108" w:type="dxa"/>
          </w:tblCellMar>
        </w:tblPrEx>
        <w:trPr>
          <w:trHeight w:val="920" w:hRule="atLeast"/>
        </w:trPr>
        <w:tc>
          <w:tcPr>
            <w:tcW w:w="0" w:type="auto"/>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2</w:t>
            </w:r>
          </w:p>
        </w:tc>
        <w:tc>
          <w:tcPr>
            <w:tcW w:w="1176"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合作</w:t>
            </w:r>
          </w:p>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方案</w:t>
            </w:r>
          </w:p>
        </w:tc>
        <w:tc>
          <w:tcPr>
            <w:tcW w:w="0" w:type="auto"/>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sz w:val="24"/>
              </w:rPr>
              <w:t>70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有较强协调配合能力，能在煎药中心的场地建设阶段、设备安装阶段协助医院完成相关工作；保证在煎药中心正式运行前能全力配合医院或相关施工方、厂商开展调试工作，并能提供相应工作方案。</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能提供配合及工作方案的得满分；能提供配合但无工作方案的得2分；不能提供配合也无工作方案的不得分。</w:t>
            </w:r>
          </w:p>
        </w:tc>
      </w:tr>
      <w:tr>
        <w:tblPrEx>
          <w:tblCellMar>
            <w:top w:w="0" w:type="dxa"/>
            <w:left w:w="108" w:type="dxa"/>
            <w:bottom w:w="0" w:type="dxa"/>
            <w:right w:w="108" w:type="dxa"/>
          </w:tblCellMar>
        </w:tblPrEx>
        <w:trPr>
          <w:trHeight w:val="100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提供智慧煎药中心合作运行方案，包含但不限于煎药中心中药饮片供给、人员配备、专家业务指导、物流配送等方面内容。能保证智慧煎药中心运行、管理规范，获得行业认可。</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提供的方案不完整、操作性不强的，每一项扣2分，扣完为止。</w:t>
            </w:r>
          </w:p>
        </w:tc>
      </w:tr>
      <w:tr>
        <w:tblPrEx>
          <w:tblCellMar>
            <w:top w:w="0" w:type="dxa"/>
            <w:left w:w="108" w:type="dxa"/>
            <w:bottom w:w="0" w:type="dxa"/>
            <w:right w:w="108" w:type="dxa"/>
          </w:tblCellMar>
        </w:tblPrEx>
        <w:trPr>
          <w:trHeight w:val="61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提供智慧煎药中心煎药全过程的质量监管方案，建立健全煎药质量的跟踪、追溯、监控体系，并能承诺做到无条件接受医院的质量监管。</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提供的方案不完整、操作性不强的，每一项扣1分，扣完为止，不能承诺保证的不得分。</w:t>
            </w:r>
          </w:p>
        </w:tc>
      </w:tr>
      <w:tr>
        <w:tblPrEx>
          <w:tblCellMar>
            <w:top w:w="0" w:type="dxa"/>
            <w:left w:w="108" w:type="dxa"/>
            <w:bottom w:w="0" w:type="dxa"/>
            <w:right w:w="108" w:type="dxa"/>
          </w:tblCellMar>
        </w:tblPrEx>
        <w:trPr>
          <w:trHeight w:val="100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69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15</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业务指导费，合作方承担专家业务指导费用不低于1.5万/人/月，人员数量不低于2人。</w:t>
            </w:r>
          </w:p>
        </w:tc>
        <w:tc>
          <w:tcPr>
            <w:tcW w:w="455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以最高报价为基准价，其分值为满分。</w:t>
            </w:r>
          </w:p>
          <w:p>
            <w:pPr>
              <w:jc w:val="left"/>
              <w:rPr>
                <w:rFonts w:ascii="仿宋_GB2312" w:hAnsi="宋体" w:eastAsia="仿宋_GB2312" w:cs="仿宋_GB2312"/>
                <w:sz w:val="24"/>
              </w:rPr>
            </w:pPr>
            <w:r>
              <w:rPr>
                <w:rFonts w:hint="eastAsia" w:ascii="仿宋_GB2312" w:hAnsi="宋体" w:eastAsia="仿宋_GB2312" w:cs="仿宋_GB2312"/>
                <w:kern w:val="0"/>
                <w:sz w:val="24"/>
                <w:lang w:bidi="ar"/>
              </w:rPr>
              <w:t>其他遴选单位的分值按照下列公式计算：报价得分=(报价／基准价)*15分，低于1.5万/人/月不得分。（四舍五入，保留两位小数）</w:t>
            </w:r>
          </w:p>
        </w:tc>
      </w:tr>
      <w:tr>
        <w:tblPrEx>
          <w:tblCellMar>
            <w:top w:w="0" w:type="dxa"/>
            <w:left w:w="108" w:type="dxa"/>
            <w:bottom w:w="0" w:type="dxa"/>
            <w:right w:w="108" w:type="dxa"/>
          </w:tblCellMar>
        </w:tblPrEx>
        <w:trPr>
          <w:trHeight w:val="100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15</w:t>
            </w:r>
          </w:p>
        </w:tc>
        <w:tc>
          <w:tcPr>
            <w:tcW w:w="61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煎药费用分配：本院煎药用，合作方向院方收取的代煎费不得高于院方收取煎药费的20%。</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以最低百分比报价为基准价，其分值为满分。</w:t>
            </w:r>
          </w:p>
          <w:p>
            <w:pPr>
              <w:jc w:val="left"/>
              <w:rPr>
                <w:rFonts w:ascii="仿宋_GB2312" w:hAnsi="宋体" w:eastAsia="仿宋_GB2312" w:cs="仿宋_GB2312"/>
                <w:sz w:val="24"/>
              </w:rPr>
            </w:pPr>
            <w:r>
              <w:rPr>
                <w:rFonts w:hint="eastAsia" w:ascii="仿宋_GB2312" w:hAnsi="宋体" w:eastAsia="仿宋_GB2312" w:cs="仿宋_GB2312"/>
                <w:kern w:val="0"/>
                <w:sz w:val="24"/>
                <w:lang w:bidi="ar"/>
              </w:rPr>
              <w:t>其他遴选单位的分值按照下列公式计算：报价得分=(基准价／报价)*15分，高于20%不得分。（四舍五入，保留两位小数）</w:t>
            </w:r>
          </w:p>
        </w:tc>
      </w:tr>
      <w:tr>
        <w:tblPrEx>
          <w:tblCellMar>
            <w:top w:w="0" w:type="dxa"/>
            <w:left w:w="108" w:type="dxa"/>
            <w:bottom w:w="0" w:type="dxa"/>
            <w:right w:w="108" w:type="dxa"/>
          </w:tblCellMar>
        </w:tblPrEx>
        <w:trPr>
          <w:trHeight w:val="100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15</w:t>
            </w:r>
          </w:p>
        </w:tc>
        <w:tc>
          <w:tcPr>
            <w:tcW w:w="615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煎药费用分配：对外煎药费，合作方向院方支付的煎药费不低于合作方收取煎药费的20%。</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以最高报价为基准价，其分值为满分。</w:t>
            </w:r>
          </w:p>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其他遴选单位的分值按照下列公式计算：报价得分=(报价／基准价)*15分，低于20%不得分。（四舍五入，保留两位小数）</w:t>
            </w:r>
          </w:p>
        </w:tc>
      </w:tr>
      <w:tr>
        <w:tblPrEx>
          <w:tblCellMar>
            <w:top w:w="0" w:type="dxa"/>
            <w:left w:w="108" w:type="dxa"/>
            <w:bottom w:w="0" w:type="dxa"/>
            <w:right w:w="108" w:type="dxa"/>
          </w:tblCellMar>
        </w:tblPrEx>
        <w:trPr>
          <w:trHeight w:val="982"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能提供保证煎药中心正常运行的办公用品（电脑、打印机、桌椅、文件柜等）、物品（药架、药框、调剂台、天平等）、洁具等。</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物资提供不齐全，或有明显错误的每一项扣2分，扣完为止。不提供的不得分。</w:t>
            </w:r>
          </w:p>
        </w:tc>
      </w:tr>
      <w:tr>
        <w:tblPrEx>
          <w:tblCellMar>
            <w:top w:w="0" w:type="dxa"/>
            <w:left w:w="108" w:type="dxa"/>
            <w:bottom w:w="0" w:type="dxa"/>
            <w:right w:w="108" w:type="dxa"/>
          </w:tblCellMar>
        </w:tblPrEx>
        <w:trPr>
          <w:trHeight w:val="100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合作方能免费提供煎药中心网络专线和相应软件信息系统与医院系统对接，并免费负责系统升级，能达到“一切行为有记录、一切行为可追溯”的智慧信息化要求，能负责保障专线的通畅及双方网络和系统安全。</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不提供不得分。</w:t>
            </w:r>
          </w:p>
        </w:tc>
      </w:tr>
      <w:tr>
        <w:tblPrEx>
          <w:tblCellMar>
            <w:top w:w="0" w:type="dxa"/>
            <w:left w:w="108" w:type="dxa"/>
            <w:bottom w:w="0" w:type="dxa"/>
            <w:right w:w="108" w:type="dxa"/>
          </w:tblCellMar>
        </w:tblPrEx>
        <w:trPr>
          <w:trHeight w:val="34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3</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售后服务</w:t>
            </w:r>
          </w:p>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方案</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2</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能提供智慧煎药中心运维服务方案，指定专人负责煎药中心煎药质量、物流配送等方面售后服务工作，及时提供相应答疑、咨询、投诉等服务。能制定自动煎药设备故障的应急处置方案，确保患者及时取药。</w:t>
            </w:r>
          </w:p>
          <w:p>
            <w:pPr>
              <w:widowControl/>
              <w:jc w:val="left"/>
              <w:textAlignment w:val="center"/>
              <w:rPr>
                <w:rFonts w:ascii="仿宋_GB2312" w:hAnsi="宋体" w:eastAsia="仿宋_GB2312" w:cs="仿宋_GB2312"/>
                <w:sz w:val="24"/>
              </w:rPr>
            </w:pP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能提供方案且能承诺小问题2小时内解决，大问题4小时内解决的得2分；时间超过者、提供的方案不完整、操作性不强的、不能有效处理故障问题的不得分。</w:t>
            </w:r>
          </w:p>
        </w:tc>
      </w:tr>
      <w:tr>
        <w:tblPrEx>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sz w:val="24"/>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有专业的设备维保团队，在煎药中心合作运行期间，提供高效快捷的维保服务。</w:t>
            </w:r>
          </w:p>
          <w:p>
            <w:pPr>
              <w:widowControl/>
              <w:jc w:val="left"/>
              <w:textAlignment w:val="center"/>
              <w:rPr>
                <w:rFonts w:ascii="仿宋_GB2312" w:hAnsi="宋体" w:eastAsia="仿宋_GB2312" w:cs="仿宋_GB2312"/>
                <w:sz w:val="24"/>
              </w:rPr>
            </w:pP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能承诺在合作运行期间免费对煎药中心设备进行维修或同档次更换、保养服务以及免费提供备用煎药设备的得8分，否则不得分。</w:t>
            </w:r>
          </w:p>
        </w:tc>
      </w:tr>
      <w:tr>
        <w:tblPrEx>
          <w:tblCellMar>
            <w:top w:w="0" w:type="dxa"/>
            <w:left w:w="108" w:type="dxa"/>
            <w:bottom w:w="0" w:type="dxa"/>
            <w:right w:w="108" w:type="dxa"/>
          </w:tblCellMar>
        </w:tblPrEx>
        <w:trPr>
          <w:trHeight w:val="4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合计</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100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sz w:val="24"/>
              </w:rPr>
            </w:pP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sz w:val="24"/>
              </w:rPr>
            </w:pPr>
          </w:p>
        </w:tc>
      </w:tr>
      <w:tr>
        <w:tblPrEx>
          <w:tblCellMar>
            <w:top w:w="0" w:type="dxa"/>
            <w:left w:w="108" w:type="dxa"/>
            <w:bottom w:w="0" w:type="dxa"/>
            <w:right w:w="108" w:type="dxa"/>
          </w:tblCellMar>
        </w:tblPrEx>
        <w:trPr>
          <w:trHeight w:val="705" w:hRule="atLeast"/>
        </w:trPr>
        <w:tc>
          <w:tcPr>
            <w:tcW w:w="139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sz w:val="24"/>
              </w:rPr>
            </w:pPr>
            <w:r>
              <w:rPr>
                <w:rFonts w:hint="eastAsia" w:ascii="仿宋_GB2312" w:hAnsi="宋体" w:eastAsia="仿宋_GB2312" w:cs="仿宋_GB2312"/>
                <w:b/>
                <w:bCs/>
                <w:kern w:val="0"/>
                <w:sz w:val="24"/>
                <w:lang w:bidi="ar"/>
              </w:rPr>
              <w:t>备注：请各单位按照以上内容制作合作方案，能满足承诺事项要求的，请对应提供承诺说明并加盖公章。</w:t>
            </w:r>
          </w:p>
        </w:tc>
      </w:tr>
    </w:tbl>
    <w:p>
      <w:pPr>
        <w:pStyle w:val="3"/>
        <w:ind w:firstLine="0" w:firstLineChars="0"/>
        <w:rPr>
          <w:rFonts w:ascii="黑体" w:hAnsi="黑体" w:eastAsia="黑体" w:cs="黑体"/>
          <w:sz w:val="32"/>
          <w:szCs w:val="32"/>
        </w:rPr>
      </w:pPr>
    </w:p>
    <w:p>
      <w:pPr>
        <w:pStyle w:val="3"/>
        <w:ind w:firstLine="0" w:firstLineChars="0"/>
        <w:rPr>
          <w:rFonts w:ascii="黑体" w:hAnsi="黑体" w:eastAsia="黑体" w:cs="黑体"/>
          <w:sz w:val="32"/>
          <w:szCs w:val="32"/>
        </w:rPr>
      </w:pPr>
    </w:p>
    <w:p>
      <w:pPr>
        <w:pStyle w:val="3"/>
        <w:ind w:firstLine="0" w:firstLineChars="0"/>
        <w:rPr>
          <w:rFonts w:ascii="黑体" w:hAnsi="黑体" w:eastAsia="黑体" w:cs="黑体"/>
          <w:sz w:val="32"/>
          <w:szCs w:val="32"/>
        </w:rPr>
      </w:pPr>
    </w:p>
    <w:p>
      <w:pPr>
        <w:pStyle w:val="3"/>
        <w:ind w:firstLine="0" w:firstLineChars="0"/>
        <w:rPr>
          <w:rFonts w:ascii="黑体" w:hAnsi="黑体" w:eastAsia="黑体" w:cs="黑体"/>
          <w:sz w:val="32"/>
          <w:szCs w:val="32"/>
        </w:rPr>
      </w:pPr>
    </w:p>
    <w:p>
      <w:pPr>
        <w:pStyle w:val="3"/>
        <w:ind w:firstLine="0" w:firstLineChars="0"/>
        <w:rPr>
          <w:rFonts w:ascii="黑体" w:hAnsi="黑体" w:eastAsia="黑体" w:cs="黑体"/>
          <w:sz w:val="32"/>
          <w:szCs w:val="32"/>
        </w:rPr>
      </w:pPr>
    </w:p>
    <w:p>
      <w:pPr>
        <w:pStyle w:val="3"/>
        <w:ind w:firstLine="0" w:firstLineChars="0"/>
        <w:rPr>
          <w:rFonts w:ascii="黑体" w:hAnsi="黑体" w:eastAsia="黑体" w:cs="黑体"/>
          <w:sz w:val="32"/>
          <w:szCs w:val="32"/>
        </w:rPr>
      </w:pPr>
    </w:p>
    <w:p>
      <w:pPr>
        <w:pStyle w:val="3"/>
        <w:ind w:firstLine="0" w:firstLineChars="0"/>
        <w:rPr>
          <w:rFonts w:ascii="黑体" w:hAnsi="黑体" w:eastAsia="黑体" w:cs="黑体"/>
          <w:sz w:val="32"/>
          <w:szCs w:val="32"/>
        </w:rPr>
      </w:pPr>
    </w:p>
    <w:p>
      <w:pPr>
        <w:pStyle w:val="3"/>
        <w:ind w:firstLine="0" w:firstLineChars="0"/>
        <w:rPr>
          <w:rFonts w:ascii="黑体" w:hAnsi="黑体" w:eastAsia="黑体" w:cs="黑体"/>
          <w:sz w:val="32"/>
          <w:szCs w:val="32"/>
        </w:rPr>
      </w:pPr>
      <w:r>
        <w:rPr>
          <w:rFonts w:hint="eastAsia" w:ascii="黑体" w:hAnsi="黑体" w:eastAsia="黑体" w:cs="黑体"/>
          <w:sz w:val="32"/>
          <w:szCs w:val="32"/>
        </w:rPr>
        <w:t>附件3：</w:t>
      </w:r>
    </w:p>
    <w:tbl>
      <w:tblPr>
        <w:tblStyle w:val="19"/>
        <w:tblW w:w="13952" w:type="dxa"/>
        <w:tblInd w:w="91" w:type="dxa"/>
        <w:tblLayout w:type="fixed"/>
        <w:tblCellMar>
          <w:top w:w="0" w:type="dxa"/>
          <w:left w:w="108" w:type="dxa"/>
          <w:bottom w:w="0" w:type="dxa"/>
          <w:right w:w="108" w:type="dxa"/>
        </w:tblCellMar>
      </w:tblPr>
      <w:tblGrid>
        <w:gridCol w:w="355"/>
        <w:gridCol w:w="749"/>
        <w:gridCol w:w="761"/>
        <w:gridCol w:w="775"/>
        <w:gridCol w:w="6258"/>
        <w:gridCol w:w="5054"/>
      </w:tblGrid>
      <w:tr>
        <w:tblPrEx>
          <w:tblCellMar>
            <w:top w:w="0" w:type="dxa"/>
            <w:left w:w="108" w:type="dxa"/>
            <w:bottom w:w="0" w:type="dxa"/>
            <w:right w:w="108" w:type="dxa"/>
          </w:tblCellMar>
        </w:tblPrEx>
        <w:trPr>
          <w:trHeight w:val="695" w:hRule="atLeast"/>
        </w:trPr>
        <w:tc>
          <w:tcPr>
            <w:tcW w:w="13952" w:type="dxa"/>
            <w:gridSpan w:val="6"/>
            <w:tcBorders>
              <w:top w:val="nil"/>
              <w:left w:val="nil"/>
              <w:bottom w:val="nil"/>
              <w:right w:val="nil"/>
            </w:tcBorders>
            <w:shd w:val="clear" w:color="auto" w:fill="auto"/>
            <w:noWrap/>
            <w:vAlign w:val="center"/>
          </w:tcPr>
          <w:p>
            <w:pPr>
              <w:widowControl/>
              <w:jc w:val="center"/>
              <w:textAlignment w:val="center"/>
              <w:rPr>
                <w:rFonts w:ascii="方正小标宋简体" w:hAnsi="方正小标宋简体" w:eastAsia="方正小标宋简体" w:cs="方正小标宋简体"/>
                <w:b/>
                <w:bCs/>
                <w:sz w:val="28"/>
                <w:szCs w:val="28"/>
              </w:rPr>
            </w:pPr>
            <w:r>
              <w:rPr>
                <w:rFonts w:hint="eastAsia" w:ascii="方正小标宋简体" w:hAnsi="方正小标宋简体" w:eastAsia="方正小标宋简体" w:cs="方正小标宋简体"/>
                <w:b/>
                <w:bCs/>
                <w:kern w:val="0"/>
                <w:sz w:val="28"/>
                <w:szCs w:val="28"/>
                <w:lang w:bidi="ar"/>
              </w:rPr>
              <w:t>智慧煎药中心运行合作项目实地考察评分表</w:t>
            </w:r>
          </w:p>
        </w:tc>
      </w:tr>
      <w:tr>
        <w:tblPrEx>
          <w:tblCellMar>
            <w:top w:w="0" w:type="dxa"/>
            <w:left w:w="108" w:type="dxa"/>
            <w:bottom w:w="0" w:type="dxa"/>
            <w:right w:w="108" w:type="dxa"/>
          </w:tblCellMar>
        </w:tblPrEx>
        <w:trPr>
          <w:trHeight w:val="494" w:hRule="atLeast"/>
        </w:trPr>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序号</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评分项</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分项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分值</w:t>
            </w:r>
          </w:p>
        </w:tc>
        <w:tc>
          <w:tcPr>
            <w:tcW w:w="62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评价内容</w:t>
            </w:r>
          </w:p>
        </w:tc>
        <w:tc>
          <w:tcPr>
            <w:tcW w:w="5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sz w:val="24"/>
              </w:rPr>
            </w:pPr>
            <w:r>
              <w:rPr>
                <w:rFonts w:hint="eastAsia" w:ascii="黑体" w:hAnsi="宋体" w:eastAsia="黑体" w:cs="黑体"/>
                <w:b/>
                <w:bCs/>
                <w:kern w:val="0"/>
                <w:sz w:val="24"/>
                <w:lang w:bidi="ar"/>
              </w:rPr>
              <w:t>评分标准</w:t>
            </w:r>
          </w:p>
        </w:tc>
      </w:tr>
      <w:tr>
        <w:tblPrEx>
          <w:tblCellMar>
            <w:top w:w="0" w:type="dxa"/>
            <w:left w:w="108" w:type="dxa"/>
            <w:bottom w:w="0" w:type="dxa"/>
            <w:right w:w="108" w:type="dxa"/>
          </w:tblCellMar>
        </w:tblPrEx>
        <w:trPr>
          <w:trHeight w:val="312"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sz w:val="24"/>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sz w:val="24"/>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sz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sz w:val="24"/>
              </w:rPr>
            </w:pPr>
          </w:p>
        </w:tc>
        <w:tc>
          <w:tcPr>
            <w:tcW w:w="62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sz w:val="24"/>
              </w:rPr>
            </w:pPr>
          </w:p>
        </w:tc>
        <w:tc>
          <w:tcPr>
            <w:tcW w:w="5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sz w:val="24"/>
              </w:rPr>
            </w:pPr>
          </w:p>
        </w:tc>
      </w:tr>
      <w:tr>
        <w:tblPrEx>
          <w:tblCellMar>
            <w:top w:w="0" w:type="dxa"/>
            <w:left w:w="108" w:type="dxa"/>
            <w:bottom w:w="0" w:type="dxa"/>
            <w:right w:w="108" w:type="dxa"/>
          </w:tblCellMar>
        </w:tblPrEx>
        <w:trPr>
          <w:trHeight w:val="1583" w:hRule="atLeast"/>
        </w:trPr>
        <w:tc>
          <w:tcPr>
            <w:tcW w:w="355" w:type="dxa"/>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w:t>
            </w:r>
          </w:p>
        </w:tc>
        <w:tc>
          <w:tcPr>
            <w:tcW w:w="749"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公司实力情况</w:t>
            </w:r>
          </w:p>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(15分）</w:t>
            </w:r>
          </w:p>
        </w:tc>
        <w:tc>
          <w:tcPr>
            <w:tcW w:w="76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规模</w:t>
            </w:r>
          </w:p>
        </w:tc>
        <w:tc>
          <w:tcPr>
            <w:tcW w:w="77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258"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公司规模中、小、微型。</w:t>
            </w:r>
          </w:p>
          <w:p>
            <w:pPr>
              <w:widowControl/>
              <w:jc w:val="left"/>
              <w:textAlignment w:val="center"/>
              <w:rPr>
                <w:rFonts w:ascii="仿宋_GB2312" w:hAnsi="宋体" w:eastAsia="仿宋_GB2312" w:cs="仿宋_GB2312"/>
                <w:sz w:val="24"/>
              </w:rPr>
            </w:pPr>
          </w:p>
        </w:tc>
        <w:tc>
          <w:tcPr>
            <w:tcW w:w="505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中型5分，小型4分，微型2分。</w:t>
            </w:r>
          </w:p>
          <w:p>
            <w:pPr>
              <w:jc w:val="left"/>
              <w:rPr>
                <w:rFonts w:ascii="仿宋_GB2312" w:hAnsi="宋体" w:eastAsia="仿宋_GB2312" w:cs="仿宋_GB2312"/>
                <w:b/>
                <w:bCs/>
                <w:sz w:val="24"/>
              </w:rPr>
            </w:pPr>
            <w:r>
              <w:rPr>
                <w:rFonts w:hint="eastAsia" w:ascii="仿宋_GB2312" w:hAnsi="宋体" w:eastAsia="仿宋_GB2312" w:cs="仿宋_GB2312"/>
                <w:kern w:val="0"/>
                <w:sz w:val="24"/>
                <w:lang w:bidi="ar"/>
              </w:rPr>
              <w:t>备注：企业标准：年营业收入5000万元-20000万元为中型，年营业收入5000万元以下为小型。</w:t>
            </w:r>
          </w:p>
        </w:tc>
      </w:tr>
      <w:tr>
        <w:tblPrEx>
          <w:tblCellMar>
            <w:top w:w="0" w:type="dxa"/>
            <w:left w:w="108" w:type="dxa"/>
            <w:bottom w:w="0" w:type="dxa"/>
            <w:right w:w="108" w:type="dxa"/>
          </w:tblCellMar>
        </w:tblPrEx>
        <w:trPr>
          <w:trHeight w:val="1088" w:hRule="atLeast"/>
        </w:trPr>
        <w:tc>
          <w:tcPr>
            <w:tcW w:w="355"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749"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761"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实地</w:t>
            </w:r>
          </w:p>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环境</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公司环境，企业文化，工作氛围等情况。</w:t>
            </w:r>
          </w:p>
          <w:p>
            <w:pPr>
              <w:widowControl/>
              <w:jc w:val="left"/>
              <w:textAlignment w:val="center"/>
              <w:rPr>
                <w:rFonts w:ascii="仿宋_GB2312" w:hAnsi="宋体" w:eastAsia="仿宋_GB2312" w:cs="仿宋_GB2312"/>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公司环境优美、工作氛围好、有良好的企业文化的得5分；一般的得2分；较差的不得分。</w:t>
            </w:r>
          </w:p>
        </w:tc>
      </w:tr>
      <w:tr>
        <w:tblPrEx>
          <w:tblCellMar>
            <w:top w:w="0" w:type="dxa"/>
            <w:left w:w="108" w:type="dxa"/>
            <w:bottom w:w="0" w:type="dxa"/>
            <w:right w:w="108" w:type="dxa"/>
          </w:tblCellMar>
        </w:tblPrEx>
        <w:trPr>
          <w:trHeight w:val="739" w:hRule="atLeast"/>
        </w:trPr>
        <w:tc>
          <w:tcPr>
            <w:tcW w:w="355"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749"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公司组织架构清晰，有明确的岗位分工和岗位职责。</w:t>
            </w:r>
          </w:p>
          <w:p>
            <w:pPr>
              <w:widowControl/>
              <w:jc w:val="left"/>
              <w:textAlignment w:val="center"/>
              <w:rPr>
                <w:rFonts w:ascii="仿宋_GB2312" w:hAnsi="宋体" w:eastAsia="仿宋_GB2312" w:cs="仿宋_GB2312"/>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组织架构清晰、制度职责健全完善的得5分；一般的得2分；较差的不得分。</w:t>
            </w:r>
          </w:p>
        </w:tc>
      </w:tr>
      <w:tr>
        <w:tblPrEx>
          <w:tblCellMar>
            <w:top w:w="0" w:type="dxa"/>
            <w:left w:w="108" w:type="dxa"/>
            <w:bottom w:w="0" w:type="dxa"/>
            <w:right w:w="108" w:type="dxa"/>
          </w:tblCellMar>
        </w:tblPrEx>
        <w:trPr>
          <w:trHeight w:val="934" w:hRule="atLeast"/>
        </w:trPr>
        <w:tc>
          <w:tcPr>
            <w:tcW w:w="355"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2</w:t>
            </w:r>
          </w:p>
        </w:tc>
        <w:tc>
          <w:tcPr>
            <w:tcW w:w="749"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合作</w:t>
            </w:r>
          </w:p>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能力</w:t>
            </w:r>
          </w:p>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（65分）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服务能力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专业技术人员配备合理，工作团队必须配备执业药师，复核人员及审方人员为药学专业人员且药师及以上职称。满足煎药时限需求，急煎需2小时内送患者。</w:t>
            </w: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有充足的专业技术人员、团队并能按要求配备人员的得15分；不能按要求资质配备人员的不得分。</w:t>
            </w:r>
          </w:p>
        </w:tc>
      </w:tr>
      <w:tr>
        <w:tblPrEx>
          <w:tblCellMar>
            <w:top w:w="0" w:type="dxa"/>
            <w:left w:w="108" w:type="dxa"/>
            <w:bottom w:w="0" w:type="dxa"/>
            <w:right w:w="108" w:type="dxa"/>
          </w:tblCellMar>
        </w:tblPrEx>
        <w:trPr>
          <w:trHeight w:val="1351"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供应能力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20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1.能提供中药饮片品种数达到400种以上。</w:t>
            </w:r>
          </w:p>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2.货源充足、稳定，质量可控，中药饮片供应中有全省中药饮片质量居先的企业且供应单位数量适宜。</w:t>
            </w:r>
          </w:p>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3.有能在应急情况下满足中药饮片供应的能力。</w:t>
            </w:r>
          </w:p>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4.是自贡市应急物资药品储备企业。</w:t>
            </w: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每提供一项佐证材料的得5分。</w:t>
            </w:r>
          </w:p>
        </w:tc>
      </w:tr>
      <w:tr>
        <w:tblPrEx>
          <w:tblCellMar>
            <w:top w:w="0" w:type="dxa"/>
            <w:left w:w="108" w:type="dxa"/>
            <w:bottom w:w="0" w:type="dxa"/>
            <w:right w:w="108" w:type="dxa"/>
          </w:tblCellMar>
        </w:tblPrEx>
        <w:trPr>
          <w:trHeight w:val="929"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761"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仓储管理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有健全的仓储管理制度、仓储品种、数量有一定规模。</w:t>
            </w:r>
          </w:p>
          <w:p>
            <w:pPr>
              <w:widowControl/>
              <w:jc w:val="left"/>
              <w:textAlignment w:val="center"/>
              <w:rPr>
                <w:rFonts w:ascii="仿宋_GB2312" w:hAnsi="宋体" w:eastAsia="仿宋_GB2312" w:cs="仿宋_GB2312"/>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有完善的规范管理制度及至少满足一个月用量的得15分；规范管理制度较为完善及满足半月用量的得10分；无管理制度且储备空间较小的不得分。</w:t>
            </w:r>
          </w:p>
        </w:tc>
      </w:tr>
      <w:tr>
        <w:tblPrEx>
          <w:tblCellMar>
            <w:top w:w="0" w:type="dxa"/>
            <w:left w:w="108" w:type="dxa"/>
            <w:bottom w:w="0" w:type="dxa"/>
            <w:right w:w="108" w:type="dxa"/>
          </w:tblCellMar>
        </w:tblPrEx>
        <w:trPr>
          <w:trHeight w:val="890"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物流</w:t>
            </w:r>
          </w:p>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配送</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有切实可行的物流配送制度，物流合作渠道多，有能在应急情况下满足配送需求的能力。</w:t>
            </w:r>
          </w:p>
          <w:p>
            <w:pPr>
              <w:widowControl/>
              <w:jc w:val="left"/>
              <w:textAlignment w:val="center"/>
              <w:rPr>
                <w:rFonts w:ascii="仿宋_GB2312" w:hAnsi="宋体" w:eastAsia="仿宋_GB2312" w:cs="仿宋_GB2312"/>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配送制度健全完善、物流渠道多，市区内24小时送达，有能在应急情况下满足配送需求的能力的得15分；配送制度健全完善、物流渠道多且稳定的得10分；配送制度不建全的不得分。</w:t>
            </w:r>
          </w:p>
        </w:tc>
      </w:tr>
      <w:tr>
        <w:tblPrEx>
          <w:tblCellMar>
            <w:top w:w="0" w:type="dxa"/>
            <w:left w:w="108" w:type="dxa"/>
            <w:bottom w:w="0" w:type="dxa"/>
            <w:right w:w="108" w:type="dxa"/>
          </w:tblCellMar>
        </w:tblPrEx>
        <w:trPr>
          <w:trHeight w:val="485" w:hRule="atLeast"/>
        </w:trPr>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3</w:t>
            </w:r>
          </w:p>
        </w:tc>
        <w:tc>
          <w:tcPr>
            <w:tcW w:w="749" w:type="dxa"/>
            <w:vMerge w:val="restart"/>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相关合作项目</w:t>
            </w:r>
          </w:p>
          <w:p>
            <w:pPr>
              <w:widowControl/>
              <w:jc w:val="center"/>
              <w:textAlignment w:val="center"/>
              <w:rPr>
                <w:rFonts w:ascii="仿宋_GB2312" w:hAnsi="宋体" w:eastAsia="仿宋_GB2312" w:cs="仿宋_GB2312"/>
                <w:kern w:val="0"/>
                <w:sz w:val="24"/>
                <w:lang w:bidi="ar"/>
              </w:rPr>
            </w:pPr>
            <w:r>
              <w:rPr>
                <w:rFonts w:hint="eastAsia" w:ascii="仿宋_GB2312" w:hAnsi="宋体" w:eastAsia="仿宋_GB2312" w:cs="仿宋_GB2312"/>
                <w:kern w:val="0"/>
                <w:sz w:val="24"/>
                <w:lang w:bidi="ar"/>
              </w:rPr>
              <w:t>评价</w:t>
            </w:r>
          </w:p>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（20分）</w:t>
            </w:r>
          </w:p>
        </w:tc>
        <w:tc>
          <w:tcPr>
            <w:tcW w:w="7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运营情况</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合作项目运行情况。</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能按要求高效开展业务的得5分；效率一般的得2分；业务不能很好开展的不得分。</w:t>
            </w:r>
          </w:p>
        </w:tc>
      </w:tr>
      <w:tr>
        <w:tblPrEx>
          <w:tblCellMar>
            <w:top w:w="0" w:type="dxa"/>
            <w:left w:w="108" w:type="dxa"/>
            <w:bottom w:w="0" w:type="dxa"/>
            <w:right w:w="108" w:type="dxa"/>
          </w:tblCellMar>
        </w:tblPrEx>
        <w:trPr>
          <w:trHeight w:val="1009"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sz w:val="24"/>
              </w:rPr>
            </w:pPr>
          </w:p>
        </w:tc>
        <w:tc>
          <w:tcPr>
            <w:tcW w:w="749" w:type="dxa"/>
            <w:vMerge w:val="continue"/>
            <w:tcBorders>
              <w:top w:val="single" w:color="000000" w:sz="4" w:space="0"/>
              <w:left w:val="nil"/>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76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质量方面</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项目合作期间相关业务是否满足相关行业标准。</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能保证业务活动符合相关行业标准的得5分；不能保证的不得分。</w:t>
            </w:r>
          </w:p>
        </w:tc>
      </w:tr>
      <w:tr>
        <w:tblPrEx>
          <w:tblCellMar>
            <w:top w:w="0" w:type="dxa"/>
            <w:left w:w="108" w:type="dxa"/>
            <w:bottom w:w="0" w:type="dxa"/>
            <w:right w:w="108" w:type="dxa"/>
          </w:tblCellMar>
        </w:tblPrEx>
        <w:trPr>
          <w:trHeight w:val="1009"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sz w:val="24"/>
              </w:rPr>
            </w:pPr>
          </w:p>
        </w:tc>
        <w:tc>
          <w:tcPr>
            <w:tcW w:w="749" w:type="dxa"/>
            <w:vMerge w:val="continue"/>
            <w:tcBorders>
              <w:top w:val="single" w:color="000000" w:sz="4" w:space="0"/>
              <w:left w:val="nil"/>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合作期间运行设备发生故障、出现问题的情况。</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小问题2小时内解决，大问题4小时内解决的得5分，时间超过者、不能有效处理故障问题的不得分。</w:t>
            </w:r>
          </w:p>
        </w:tc>
      </w:tr>
      <w:tr>
        <w:tblPrEx>
          <w:tblCellMar>
            <w:top w:w="0" w:type="dxa"/>
            <w:left w:w="108" w:type="dxa"/>
            <w:bottom w:w="0" w:type="dxa"/>
            <w:right w:w="108" w:type="dxa"/>
          </w:tblCellMar>
        </w:tblPrEx>
        <w:trPr>
          <w:trHeight w:val="849"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sz w:val="24"/>
              </w:rPr>
            </w:pPr>
          </w:p>
        </w:tc>
        <w:tc>
          <w:tcPr>
            <w:tcW w:w="749" w:type="dxa"/>
            <w:vMerge w:val="continue"/>
            <w:tcBorders>
              <w:top w:val="single" w:color="000000" w:sz="4" w:space="0"/>
              <w:left w:val="nil"/>
              <w:bottom w:val="nil"/>
              <w:right w:val="single" w:color="000000" w:sz="4" w:space="0"/>
            </w:tcBorders>
            <w:shd w:val="clear" w:color="auto" w:fill="auto"/>
            <w:vAlign w:val="center"/>
          </w:tcPr>
          <w:p>
            <w:pPr>
              <w:jc w:val="center"/>
              <w:rPr>
                <w:rFonts w:ascii="仿宋_GB2312" w:hAnsi="宋体" w:eastAsia="仿宋_GB2312" w:cs="仿宋_GB2312"/>
                <w:sz w:val="24"/>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满意度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对服务人员、团队等的评价。</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sz w:val="24"/>
              </w:rPr>
            </w:pPr>
            <w:r>
              <w:rPr>
                <w:rFonts w:hint="eastAsia" w:ascii="仿宋_GB2312" w:hAnsi="宋体" w:eastAsia="仿宋_GB2312" w:cs="仿宋_GB2312"/>
                <w:kern w:val="0"/>
                <w:sz w:val="24"/>
                <w:lang w:bidi="ar"/>
              </w:rPr>
              <w:t>非常满意的得5分，一般的得2分，不满意的不得分。</w:t>
            </w:r>
          </w:p>
        </w:tc>
      </w:tr>
      <w:tr>
        <w:tblPrEx>
          <w:tblCellMar>
            <w:top w:w="0" w:type="dxa"/>
            <w:left w:w="108" w:type="dxa"/>
            <w:bottom w:w="0" w:type="dxa"/>
            <w:right w:w="108" w:type="dxa"/>
          </w:tblCellMar>
        </w:tblPrEx>
        <w:trPr>
          <w:trHeight w:val="295" w:hRule="atLeast"/>
        </w:trPr>
        <w:tc>
          <w:tcPr>
            <w:tcW w:w="18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合计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sz w:val="24"/>
              </w:rPr>
            </w:pPr>
            <w:r>
              <w:rPr>
                <w:rFonts w:hint="eastAsia" w:ascii="仿宋_GB2312" w:hAnsi="宋体" w:eastAsia="仿宋_GB2312" w:cs="仿宋_GB2312"/>
                <w:kern w:val="0"/>
                <w:sz w:val="24"/>
                <w:lang w:bidi="ar"/>
              </w:rPr>
              <w:t>100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sz w:val="24"/>
              </w:rPr>
            </w:pPr>
          </w:p>
        </w:tc>
      </w:tr>
      <w:tr>
        <w:tblPrEx>
          <w:tblCellMar>
            <w:top w:w="0" w:type="dxa"/>
            <w:left w:w="108" w:type="dxa"/>
            <w:bottom w:w="0" w:type="dxa"/>
            <w:right w:w="108" w:type="dxa"/>
          </w:tblCellMar>
        </w:tblPrEx>
        <w:trPr>
          <w:trHeight w:val="697" w:hRule="atLeast"/>
        </w:trPr>
        <w:tc>
          <w:tcPr>
            <w:tcW w:w="139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sz w:val="24"/>
              </w:rPr>
            </w:pPr>
            <w:r>
              <w:rPr>
                <w:rFonts w:hint="eastAsia" w:ascii="仿宋_GB2312" w:hAnsi="宋体" w:eastAsia="仿宋_GB2312" w:cs="仿宋_GB2312"/>
                <w:b/>
                <w:bCs/>
                <w:kern w:val="0"/>
                <w:sz w:val="24"/>
                <w:lang w:bidi="ar"/>
              </w:rPr>
              <w:t>备注：请各单位按照以上内容制作合作方案，能满足承诺事项要求的，请对应提供承诺说明并加盖公章。</w:t>
            </w:r>
          </w:p>
        </w:tc>
      </w:tr>
    </w:tbl>
    <w:p>
      <w:pPr>
        <w:pStyle w:val="3"/>
        <w:ind w:firstLine="210"/>
      </w:pPr>
    </w:p>
    <w:p/>
    <w:p>
      <w:pPr>
        <w:pStyle w:val="2"/>
      </w:pPr>
    </w:p>
    <w:p>
      <w:pPr>
        <w:pStyle w:val="3"/>
        <w:ind w:firstLine="210"/>
      </w:pPr>
    </w:p>
    <w:p/>
    <w:sectPr>
      <w:pgSz w:w="16838" w:h="11906" w:orient="landscape"/>
      <w:pgMar w:top="1531" w:right="1440" w:bottom="1361" w:left="1440"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969A4"/>
    <w:multiLevelType w:val="singleLevel"/>
    <w:tmpl w:val="8C3969A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7"/>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5YWM4NzI4ZmIxYzMyZWJlZGE4N2YyODhlMmViNDQifQ=="/>
  </w:docVars>
  <w:rsids>
    <w:rsidRoot w:val="003A69E0"/>
    <w:rsid w:val="000032AC"/>
    <w:rsid w:val="000052C7"/>
    <w:rsid w:val="000D6586"/>
    <w:rsid w:val="001A0ADB"/>
    <w:rsid w:val="00206AA9"/>
    <w:rsid w:val="002D50BB"/>
    <w:rsid w:val="00363951"/>
    <w:rsid w:val="003A419B"/>
    <w:rsid w:val="003A5FF5"/>
    <w:rsid w:val="003A69E0"/>
    <w:rsid w:val="003C265A"/>
    <w:rsid w:val="003F59C4"/>
    <w:rsid w:val="003F6DF9"/>
    <w:rsid w:val="003F7168"/>
    <w:rsid w:val="0040250E"/>
    <w:rsid w:val="00475C59"/>
    <w:rsid w:val="00495752"/>
    <w:rsid w:val="00551CD8"/>
    <w:rsid w:val="005B4C77"/>
    <w:rsid w:val="005F1682"/>
    <w:rsid w:val="006135A0"/>
    <w:rsid w:val="00614F33"/>
    <w:rsid w:val="006972F3"/>
    <w:rsid w:val="006D31B9"/>
    <w:rsid w:val="00704E5D"/>
    <w:rsid w:val="007D2D45"/>
    <w:rsid w:val="007F30DF"/>
    <w:rsid w:val="0087689F"/>
    <w:rsid w:val="00884411"/>
    <w:rsid w:val="00A56762"/>
    <w:rsid w:val="00AB11AF"/>
    <w:rsid w:val="00B57452"/>
    <w:rsid w:val="00B830A2"/>
    <w:rsid w:val="00BA4003"/>
    <w:rsid w:val="00BB1C60"/>
    <w:rsid w:val="00BB1CC3"/>
    <w:rsid w:val="00BC0212"/>
    <w:rsid w:val="00CF6860"/>
    <w:rsid w:val="00D2040E"/>
    <w:rsid w:val="00D209D3"/>
    <w:rsid w:val="00DE04B3"/>
    <w:rsid w:val="00E7177E"/>
    <w:rsid w:val="00F669D6"/>
    <w:rsid w:val="00FE3E6C"/>
    <w:rsid w:val="00FF2698"/>
    <w:rsid w:val="027653BD"/>
    <w:rsid w:val="06AB633C"/>
    <w:rsid w:val="0856072B"/>
    <w:rsid w:val="0AFC29D3"/>
    <w:rsid w:val="0C23034C"/>
    <w:rsid w:val="10E414E5"/>
    <w:rsid w:val="11B247F8"/>
    <w:rsid w:val="12A34CBE"/>
    <w:rsid w:val="13BF610A"/>
    <w:rsid w:val="145C3BF8"/>
    <w:rsid w:val="19880E9D"/>
    <w:rsid w:val="19BA35E6"/>
    <w:rsid w:val="1AC96CA9"/>
    <w:rsid w:val="1CA17276"/>
    <w:rsid w:val="1CFB79D4"/>
    <w:rsid w:val="1F306502"/>
    <w:rsid w:val="1F94269B"/>
    <w:rsid w:val="2306318E"/>
    <w:rsid w:val="231F086A"/>
    <w:rsid w:val="236F250E"/>
    <w:rsid w:val="24713535"/>
    <w:rsid w:val="24B6761D"/>
    <w:rsid w:val="253A2CC9"/>
    <w:rsid w:val="25BE0427"/>
    <w:rsid w:val="28D24097"/>
    <w:rsid w:val="2AF05EF0"/>
    <w:rsid w:val="2B930E90"/>
    <w:rsid w:val="2D334D05"/>
    <w:rsid w:val="3B3F0B58"/>
    <w:rsid w:val="3BFD5DEC"/>
    <w:rsid w:val="3D7A6218"/>
    <w:rsid w:val="3E666A1A"/>
    <w:rsid w:val="3E7B7B93"/>
    <w:rsid w:val="405E03F1"/>
    <w:rsid w:val="415B7AF2"/>
    <w:rsid w:val="43B90003"/>
    <w:rsid w:val="45B0247B"/>
    <w:rsid w:val="47A92A27"/>
    <w:rsid w:val="49D405C7"/>
    <w:rsid w:val="4BBD335E"/>
    <w:rsid w:val="4D0A0CFE"/>
    <w:rsid w:val="4D205520"/>
    <w:rsid w:val="4DEB42A3"/>
    <w:rsid w:val="4F133A9A"/>
    <w:rsid w:val="50A80B97"/>
    <w:rsid w:val="51AD267E"/>
    <w:rsid w:val="56246877"/>
    <w:rsid w:val="563A4B64"/>
    <w:rsid w:val="5807094B"/>
    <w:rsid w:val="5B750142"/>
    <w:rsid w:val="5BAC017D"/>
    <w:rsid w:val="608F7EAC"/>
    <w:rsid w:val="62365848"/>
    <w:rsid w:val="64645D78"/>
    <w:rsid w:val="65AB2A81"/>
    <w:rsid w:val="69EF48E7"/>
    <w:rsid w:val="69FD0520"/>
    <w:rsid w:val="6E2E7E6F"/>
    <w:rsid w:val="6E9771B9"/>
    <w:rsid w:val="6F8C7C57"/>
    <w:rsid w:val="70BB2335"/>
    <w:rsid w:val="745377B9"/>
    <w:rsid w:val="745A21E7"/>
    <w:rsid w:val="75C571C5"/>
    <w:rsid w:val="75CB72CD"/>
    <w:rsid w:val="79DB60AD"/>
    <w:rsid w:val="7CF41DA9"/>
    <w:rsid w:val="7D8A6028"/>
    <w:rsid w:val="7E061D45"/>
    <w:rsid w:val="7F0E1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99"/>
    <w:pPr>
      <w:ind w:firstLine="420" w:firstLineChars="100"/>
    </w:pPr>
  </w:style>
  <w:style w:type="paragraph" w:styleId="5">
    <w:name w:val="index 5"/>
    <w:basedOn w:val="1"/>
    <w:next w:val="1"/>
    <w:qFormat/>
    <w:uiPriority w:val="0"/>
    <w:pPr>
      <w:ind w:left="1680"/>
    </w:pPr>
  </w:style>
  <w:style w:type="paragraph" w:styleId="6">
    <w:name w:val="annotation text"/>
    <w:basedOn w:val="1"/>
    <w:qFormat/>
    <w:uiPriority w:val="99"/>
    <w:pPr>
      <w:jc w:val="left"/>
    </w:pPr>
  </w:style>
  <w:style w:type="paragraph" w:styleId="7">
    <w:name w:val="Salutation"/>
    <w:basedOn w:val="1"/>
    <w:next w:val="1"/>
    <w:qFormat/>
    <w:uiPriority w:val="99"/>
    <w:rPr>
      <w:rFonts w:ascii="Calibri" w:hAnsi="Calibri" w:eastAsia="仿宋"/>
      <w:sz w:val="32"/>
    </w:rPr>
  </w:style>
  <w:style w:type="paragraph" w:styleId="8">
    <w:name w:val="Body Text Indent"/>
    <w:basedOn w:val="1"/>
    <w:qFormat/>
    <w:uiPriority w:val="0"/>
    <w:pPr>
      <w:spacing w:line="640" w:lineRule="exact"/>
      <w:ind w:firstLine="573"/>
    </w:pPr>
    <w:rPr>
      <w:rFonts w:ascii="宋体"/>
      <w:sz w:val="28"/>
    </w:rPr>
  </w:style>
  <w:style w:type="paragraph" w:styleId="9">
    <w:name w:val="Plain Text"/>
    <w:basedOn w:val="1"/>
    <w:qFormat/>
    <w:uiPriority w:val="0"/>
    <w:rPr>
      <w:rFonts w:hint="eastAsia" w:ascii="宋体" w:hAnsi="Courier New" w:cs="Courier New"/>
      <w:spacing w:val="10"/>
      <w:szCs w:val="21"/>
    </w:rPr>
  </w:style>
  <w:style w:type="paragraph" w:styleId="10">
    <w:name w:val="Balloon Text"/>
    <w:basedOn w:val="1"/>
    <w:link w:val="33"/>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4">
    <w:name w:val="table of figures"/>
    <w:basedOn w:val="1"/>
    <w:next w:val="1"/>
    <w:qFormat/>
    <w:uiPriority w:val="0"/>
    <w:pPr>
      <w:ind w:left="200" w:leftChars="200" w:hanging="200" w:hangingChars="200"/>
    </w:pPr>
    <w:rPr>
      <w:sz w:val="32"/>
    </w:rPr>
  </w:style>
  <w:style w:type="paragraph" w:styleId="15">
    <w:name w:val="Body Text 2"/>
    <w:basedOn w:val="1"/>
    <w:qFormat/>
    <w:uiPriority w:val="0"/>
    <w:rPr>
      <w:rFonts w:ascii="仿宋_GB2312" w:eastAsia="仿宋_GB2312"/>
      <w:b/>
      <w:bCs/>
      <w:sz w:val="44"/>
      <w:szCs w:val="22"/>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480" w:after="300"/>
      <w:jc w:val="left"/>
      <w:outlineLvl w:val="0"/>
    </w:pPr>
    <w:rPr>
      <w:rFonts w:ascii="Cambria" w:hAnsi="Cambria" w:eastAsia="仿宋"/>
      <w:b/>
      <w:bCs/>
      <w:sz w:val="32"/>
      <w:szCs w:val="32"/>
    </w:rPr>
  </w:style>
  <w:style w:type="paragraph" w:styleId="18">
    <w:name w:val="Body Text First Indent 2"/>
    <w:basedOn w:val="8"/>
    <w:qFormat/>
    <w:uiPriority w:val="0"/>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page number"/>
    <w:basedOn w:val="21"/>
    <w:qFormat/>
    <w:uiPriority w:val="0"/>
  </w:style>
  <w:style w:type="character" w:styleId="24">
    <w:name w:val="annotation reference"/>
    <w:basedOn w:val="21"/>
    <w:qFormat/>
    <w:uiPriority w:val="0"/>
    <w:rPr>
      <w:sz w:val="21"/>
      <w:szCs w:val="21"/>
    </w:rPr>
  </w:style>
  <w:style w:type="paragraph" w:customStyle="1" w:styleId="2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6">
    <w:name w:val="Table of Figures1"/>
    <w:basedOn w:val="1"/>
    <w:next w:val="1"/>
    <w:qFormat/>
    <w:uiPriority w:val="99"/>
    <w:pPr>
      <w:ind w:left="200" w:leftChars="200" w:hanging="200" w:hangingChars="200"/>
    </w:pPr>
  </w:style>
  <w:style w:type="paragraph" w:customStyle="1" w:styleId="27">
    <w:name w:val="普通(网站)1"/>
    <w:basedOn w:val="1"/>
    <w:qFormat/>
    <w:uiPriority w:val="0"/>
    <w:pPr>
      <w:widowControl/>
      <w:spacing w:before="100" w:beforeAutospacing="1" w:after="100" w:afterAutospacing="1"/>
      <w:jc w:val="left"/>
    </w:pPr>
    <w:rPr>
      <w:rFonts w:ascii="Arial Unicode MS" w:hAnsi="Arial Unicode MS" w:cs="Arial Unicode MS"/>
      <w:kern w:val="0"/>
      <w:sz w:val="24"/>
      <w:lang w:eastAsia="en-US"/>
    </w:rPr>
  </w:style>
  <w:style w:type="paragraph" w:styleId="28">
    <w:name w:val="List Paragraph"/>
    <w:basedOn w:val="1"/>
    <w:qFormat/>
    <w:uiPriority w:val="34"/>
    <w:pPr>
      <w:ind w:firstLine="420" w:firstLineChars="200"/>
    </w:pPr>
  </w:style>
  <w:style w:type="character" w:customStyle="1" w:styleId="29">
    <w:name w:val="font41"/>
    <w:basedOn w:val="21"/>
    <w:qFormat/>
    <w:uiPriority w:val="0"/>
    <w:rPr>
      <w:rFonts w:hint="eastAsia" w:ascii="仿宋" w:hAnsi="仿宋" w:eastAsia="仿宋" w:cs="仿宋"/>
      <w:b/>
      <w:color w:val="000000"/>
      <w:sz w:val="15"/>
      <w:szCs w:val="15"/>
      <w:u w:val="none"/>
    </w:rPr>
  </w:style>
  <w:style w:type="character" w:customStyle="1" w:styleId="30">
    <w:name w:val="font11"/>
    <w:basedOn w:val="21"/>
    <w:qFormat/>
    <w:uiPriority w:val="0"/>
    <w:rPr>
      <w:rFonts w:hint="eastAsia" w:ascii="仿宋" w:hAnsi="仿宋" w:eastAsia="仿宋" w:cs="仿宋"/>
      <w:b/>
      <w:color w:val="000000"/>
      <w:sz w:val="15"/>
      <w:szCs w:val="15"/>
      <w:u w:val="none"/>
      <w:vertAlign w:val="superscript"/>
    </w:rPr>
  </w:style>
  <w:style w:type="character" w:customStyle="1" w:styleId="31">
    <w:name w:val="font31"/>
    <w:basedOn w:val="21"/>
    <w:qFormat/>
    <w:uiPriority w:val="0"/>
    <w:rPr>
      <w:rFonts w:hint="eastAsia" w:ascii="仿宋" w:hAnsi="仿宋" w:eastAsia="仿宋" w:cs="仿宋"/>
      <w:b/>
      <w:color w:val="000000"/>
      <w:sz w:val="15"/>
      <w:szCs w:val="15"/>
      <w:u w:val="none"/>
    </w:rPr>
  </w:style>
  <w:style w:type="character" w:customStyle="1" w:styleId="32">
    <w:name w:val="font01"/>
    <w:basedOn w:val="21"/>
    <w:qFormat/>
    <w:uiPriority w:val="0"/>
    <w:rPr>
      <w:rFonts w:hint="eastAsia" w:ascii="仿宋" w:hAnsi="仿宋" w:eastAsia="仿宋" w:cs="仿宋"/>
      <w:b/>
      <w:color w:val="000000"/>
      <w:sz w:val="15"/>
      <w:szCs w:val="15"/>
      <w:u w:val="none"/>
      <w:vertAlign w:val="superscript"/>
    </w:rPr>
  </w:style>
  <w:style w:type="character" w:customStyle="1" w:styleId="33">
    <w:name w:val="批注框文本 Char"/>
    <w:basedOn w:val="21"/>
    <w:link w:val="10"/>
    <w:qFormat/>
    <w:uiPriority w:val="0"/>
    <w:rPr>
      <w:kern w:val="2"/>
      <w:sz w:val="18"/>
      <w:szCs w:val="18"/>
    </w:rPr>
  </w:style>
  <w:style w:type="character" w:customStyle="1" w:styleId="34">
    <w:name w:val="font61"/>
    <w:basedOn w:val="21"/>
    <w:qFormat/>
    <w:uiPriority w:val="0"/>
    <w:rPr>
      <w:rFonts w:hint="eastAsia" w:ascii="宋体" w:hAnsi="宋体" w:eastAsia="宋体" w:cs="宋体"/>
      <w:b/>
      <w:color w:val="000000"/>
      <w:sz w:val="20"/>
      <w:szCs w:val="20"/>
      <w:u w:val="single"/>
    </w:rPr>
  </w:style>
  <w:style w:type="table" w:customStyle="1" w:styleId="35">
    <w:name w:val="tabList"/>
    <w:basedOn w:val="19"/>
    <w:qFormat/>
    <w:uiPriority w:val="0"/>
  </w:style>
  <w:style w:type="character" w:customStyle="1" w:styleId="36">
    <w:name w:val="font21"/>
    <w:basedOn w:val="21"/>
    <w:qFormat/>
    <w:uiPriority w:val="0"/>
    <w:rPr>
      <w:rFonts w:hint="eastAsia" w:ascii="宋体" w:hAnsi="宋体" w:eastAsia="宋体" w:cs="宋体"/>
      <w:color w:val="FF0000"/>
      <w:sz w:val="22"/>
      <w:szCs w:val="22"/>
      <w:u w:val="none"/>
    </w:rPr>
  </w:style>
  <w:style w:type="character" w:customStyle="1" w:styleId="37">
    <w:name w:val="font51"/>
    <w:basedOn w:val="21"/>
    <w:qFormat/>
    <w:uiPriority w:val="0"/>
    <w:rPr>
      <w:rFonts w:hint="eastAsia" w:ascii="宋体" w:hAnsi="宋体" w:eastAsia="宋体" w:cs="宋体"/>
      <w:b/>
      <w:bCs/>
      <w:color w:val="000000"/>
      <w:sz w:val="20"/>
      <w:szCs w:val="20"/>
      <w:u w:val="none"/>
    </w:rPr>
  </w:style>
  <w:style w:type="character" w:customStyle="1" w:styleId="38">
    <w:name w:val="NormalCharacter"/>
    <w:qFormat/>
    <w:uiPriority w:val="0"/>
    <w:rPr>
      <w:rFonts w:ascii="Times New Roman" w:hAnsi="Times New Roman" w:eastAsia="宋体" w:cs="Times New Roman"/>
      <w:kern w:val="2"/>
      <w:sz w:val="21"/>
      <w:szCs w:val="24"/>
      <w:lang w:val="en-US" w:eastAsia="zh-CN" w:bidi="ar-SA"/>
    </w:rPr>
  </w:style>
  <w:style w:type="paragraph" w:customStyle="1" w:styleId="39">
    <w:name w:val="样式 首行缩进:  2 字符"/>
    <w:basedOn w:val="1"/>
    <w:qFormat/>
    <w:uiPriority w:val="0"/>
    <w:pPr>
      <w:widowControl/>
      <w:spacing w:line="400" w:lineRule="exact"/>
      <w:ind w:firstLine="200" w:firstLineChars="200"/>
      <w:jc w:val="left"/>
    </w:pPr>
    <w:rPr>
      <w:rFonts w:ascii="Calibri" w:hAnsi="Calibri" w:cs="宋体"/>
      <w:kern w:val="0"/>
      <w:sz w:val="24"/>
      <w:lang w:eastAsia="en-US"/>
    </w:rPr>
  </w:style>
  <w:style w:type="paragraph" w:customStyle="1" w:styleId="40">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1">
    <w:name w:val="BodyText1I2"/>
    <w:basedOn w:val="42"/>
    <w:qFormat/>
    <w:uiPriority w:val="0"/>
    <w:pPr>
      <w:ind w:firstLine="420"/>
    </w:pPr>
  </w:style>
  <w:style w:type="paragraph" w:customStyle="1" w:styleId="42">
    <w:name w:val="BodyTextIndent"/>
    <w:basedOn w:val="1"/>
    <w:qFormat/>
    <w:uiPriority w:val="0"/>
    <w:pPr>
      <w:widowControl/>
      <w:snapToGrid w:val="0"/>
      <w:spacing w:after="120"/>
      <w:ind w:left="200" w:leftChars="200"/>
      <w:textAlignment w:val="baseline"/>
    </w:pPr>
    <w:rPr>
      <w:rFonts w:eastAsia="仿宋_GB2312"/>
      <w:sz w:val="32"/>
      <w:szCs w:val="32"/>
    </w:rPr>
  </w:style>
  <w:style w:type="paragraph" w:customStyle="1" w:styleId="43">
    <w:name w:val="列出段落1"/>
    <w:basedOn w:val="1"/>
    <w:qFormat/>
    <w:uiPriority w:val="0"/>
    <w:pPr>
      <w:ind w:firstLine="420" w:firstLineChars="200"/>
    </w:pPr>
  </w:style>
  <w:style w:type="paragraph" w:customStyle="1" w:styleId="44">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paragraph" w:customStyle="1" w:styleId="45">
    <w:name w:val="正文缩进1"/>
    <w:basedOn w:val="1"/>
    <w:qFormat/>
    <w:uiPriority w:val="0"/>
    <w:pPr>
      <w:ind w:firstLine="420"/>
    </w:pPr>
    <w:rPr>
      <w:rFonts w:ascii="Calibri" w:hAnsi="Calibri" w:cs="Calibri"/>
    </w:rPr>
  </w:style>
  <w:style w:type="paragraph" w:customStyle="1" w:styleId="46">
    <w:name w:val="列出段落11"/>
    <w:basedOn w:val="1"/>
    <w:qFormat/>
    <w:uiPriority w:val="0"/>
    <w:pPr>
      <w:ind w:firstLine="420" w:firstLineChars="200"/>
    </w:pPr>
  </w:style>
  <w:style w:type="character" w:customStyle="1" w:styleId="47">
    <w:name w:val="g0f1bk4i1bp"/>
    <w:basedOn w:val="2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31D70E-0821-42A7-8D12-042DA7D5A105}">
  <ds:schemaRefs/>
</ds:datastoreItem>
</file>

<file path=docProps/app.xml><?xml version="1.0" encoding="utf-8"?>
<Properties xmlns="http://schemas.openxmlformats.org/officeDocument/2006/extended-properties" xmlns:vt="http://schemas.openxmlformats.org/officeDocument/2006/docPropsVTypes">
  <Template>Normal</Template>
  <Pages>15</Pages>
  <Words>6302</Words>
  <Characters>6494</Characters>
  <Lines>49</Lines>
  <Paragraphs>13</Paragraphs>
  <TotalTime>1</TotalTime>
  <ScaleCrop>false</ScaleCrop>
  <LinksUpToDate>false</LinksUpToDate>
  <CharactersWithSpaces>6641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2023-03-06T01:35:00Z</dcterms:created>
  <dc:creator>杨鑫</dc:creator>
  <cp:lastModifiedBy>邓习习</cp:lastModifiedBy>
  <cp:lastPrinted>2022-07-13T11:14:00Z</cp:lastPrinted>
  <dcterms:modified xsi:type="dcterms:W3CDTF">2023-03-08T06:56:17Z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849A1FDE43CA4028B12123145BA7A75C</vt:lpwstr>
  </property>
</Properties>
</file>