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85" w:rsidRDefault="0088047F">
      <w:pPr>
        <w:jc w:val="center"/>
        <w:rPr>
          <w:rFonts w:eastAsia="仿宋_GB2312"/>
          <w:b/>
          <w:sz w:val="44"/>
          <w:szCs w:val="44"/>
        </w:rPr>
      </w:pPr>
      <w:bookmarkStart w:id="0" w:name="_Toc17041"/>
      <w:bookmarkStart w:id="1" w:name="_Toc20806"/>
      <w:bookmarkStart w:id="2" w:name="_Toc20369"/>
      <w:r>
        <w:rPr>
          <w:rFonts w:eastAsia="仿宋_GB2312"/>
          <w:b/>
          <w:sz w:val="36"/>
          <w:szCs w:val="36"/>
        </w:rPr>
        <w:t>互联网医院建设</w:t>
      </w:r>
      <w:r>
        <w:rPr>
          <w:rFonts w:eastAsia="仿宋_GB2312" w:hint="eastAsia"/>
          <w:b/>
          <w:sz w:val="36"/>
          <w:szCs w:val="36"/>
        </w:rPr>
        <w:t>及运营各项方案</w:t>
      </w:r>
    </w:p>
    <w:p w:rsidR="00740A85" w:rsidRDefault="00740A85">
      <w:pPr>
        <w:jc w:val="center"/>
        <w:rPr>
          <w:rFonts w:eastAsia="仿宋_GB2312"/>
          <w:b/>
          <w:sz w:val="44"/>
          <w:szCs w:val="44"/>
        </w:rPr>
      </w:pPr>
    </w:p>
    <w:p w:rsidR="00740A85" w:rsidRDefault="0088047F">
      <w:pPr>
        <w:widowControl/>
        <w:shd w:val="clear" w:color="auto" w:fill="FFFFFF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  <w:r>
        <w:rPr>
          <w:rFonts w:eastAsia="仿宋_GB2312" w:hint="eastAsia"/>
          <w:b/>
          <w:sz w:val="30"/>
          <w:szCs w:val="30"/>
        </w:rPr>
        <w:t>2</w:t>
      </w:r>
      <w:r>
        <w:rPr>
          <w:rFonts w:eastAsia="仿宋_GB2312" w:hint="eastAsia"/>
          <w:b/>
          <w:sz w:val="30"/>
          <w:szCs w:val="30"/>
        </w:rPr>
        <w:t>：技术方案</w:t>
      </w:r>
    </w:p>
    <w:p w:rsidR="00740A85" w:rsidRDefault="0088047F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调研机构需提供的技术方案应包含</w:t>
      </w:r>
      <w:r>
        <w:rPr>
          <w:rFonts w:eastAsia="仿宋_GB2312" w:hint="eastAsia"/>
          <w:sz w:val="30"/>
          <w:szCs w:val="30"/>
        </w:rPr>
        <w:t>但不限于</w:t>
      </w:r>
      <w:r>
        <w:rPr>
          <w:rFonts w:eastAsia="仿宋_GB2312" w:hint="eastAsia"/>
          <w:sz w:val="30"/>
          <w:szCs w:val="30"/>
        </w:rPr>
        <w:t>：</w:t>
      </w:r>
    </w:p>
    <w:p w:rsidR="00740A85" w:rsidRDefault="0088047F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、软件方案</w:t>
      </w:r>
    </w:p>
    <w:tbl>
      <w:tblPr>
        <w:tblW w:w="8839" w:type="dxa"/>
        <w:jc w:val="center"/>
        <w:tblLook w:val="04A0"/>
      </w:tblPr>
      <w:tblGrid>
        <w:gridCol w:w="8839"/>
      </w:tblGrid>
      <w:tr w:rsidR="00740A85">
        <w:trPr>
          <w:trHeight w:val="480"/>
          <w:jc w:val="center"/>
        </w:trPr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如何实现诊前预约对初诊患者、复诊患者、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岁及以下儿童的识别及处理。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如何实现医师和药师的电子签名（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CA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证书）。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如何实现对复诊患者多种问诊手段：图文问诊、语音问诊、视频问诊。</w:t>
            </w:r>
          </w:p>
        </w:tc>
      </w:tr>
      <w:tr w:rsidR="00740A85">
        <w:trPr>
          <w:trHeight w:val="84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如何实现复诊患者开医嘱时，医生能查询该病人之前线下的就诊记录，包括之前医生的诊断信息、药品信息、之前的检验检查报告等数据。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精神毒麻类药品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禁止开医嘱提示。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如何实现药师在线审方，并有电子签名，保留审方记录。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如何实现处方流转。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如何实现患者移动支付。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如何实现诊后健康管理提示。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如何实现后台对医生行为数据的统计管理。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如何实现后台对患者行为数据的统计管理。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如何实现后台对药品审核及流转数据的统计管理。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如何实现后台对错误数据的修正。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 w:rsidRPr="007F49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如何实现智能导诊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如何实现智能问答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如何实现智能预问诊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49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如何实现智能随访</w:t>
            </w:r>
          </w:p>
        </w:tc>
      </w:tr>
      <w:tr w:rsidR="00740A85">
        <w:trPr>
          <w:trHeight w:val="480"/>
          <w:jc w:val="center"/>
        </w:trPr>
        <w:tc>
          <w:tcPr>
            <w:tcW w:w="8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85" w:rsidRDefault="008804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49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如何实现智能药事服务。</w:t>
            </w:r>
          </w:p>
        </w:tc>
      </w:tr>
    </w:tbl>
    <w:p w:rsidR="00740A85" w:rsidRDefault="0088047F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、硬件方案</w:t>
      </w:r>
    </w:p>
    <w:p w:rsidR="00740A85" w:rsidRDefault="0088047F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互联网医院平台构架、</w:t>
      </w:r>
      <w:r>
        <w:rPr>
          <w:rFonts w:eastAsia="仿宋_GB2312" w:hint="eastAsia"/>
          <w:sz w:val="30"/>
          <w:szCs w:val="30"/>
        </w:rPr>
        <w:t>部署</w:t>
      </w:r>
      <w:r>
        <w:rPr>
          <w:rFonts w:eastAsia="仿宋_GB2312" w:hint="eastAsia"/>
          <w:sz w:val="30"/>
          <w:szCs w:val="30"/>
        </w:rPr>
        <w:t>方式（在云端或者本地）、计算存储网络设备、网络安全设施与管理（包括</w:t>
      </w:r>
      <w:proofErr w:type="gramStart"/>
      <w:r>
        <w:rPr>
          <w:rFonts w:eastAsia="仿宋_GB2312" w:hint="eastAsia"/>
          <w:sz w:val="30"/>
          <w:szCs w:val="30"/>
        </w:rPr>
        <w:t>三级等保测评</w:t>
      </w:r>
      <w:proofErr w:type="gramEnd"/>
      <w:r>
        <w:rPr>
          <w:rFonts w:eastAsia="仿宋_GB2312" w:hint="eastAsia"/>
          <w:sz w:val="30"/>
          <w:szCs w:val="30"/>
        </w:rPr>
        <w:t>）等硬件资源的建设和维护的内容。</w:t>
      </w:r>
    </w:p>
    <w:p w:rsidR="00740A85" w:rsidRDefault="0088047F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以上软件所需的硬件资源（包含）方案由参加调研机构提供</w:t>
      </w:r>
      <w:r>
        <w:rPr>
          <w:rFonts w:eastAsia="仿宋_GB2312" w:hint="eastAsia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医院</w:t>
      </w:r>
      <w:r>
        <w:rPr>
          <w:rFonts w:eastAsia="仿宋_GB2312" w:hint="eastAsia"/>
          <w:sz w:val="30"/>
          <w:szCs w:val="30"/>
        </w:rPr>
        <w:t>可提供机房环境，不提供硬件设备</w:t>
      </w:r>
      <w:r>
        <w:rPr>
          <w:rFonts w:eastAsia="仿宋_GB2312" w:hint="eastAsia"/>
          <w:sz w:val="30"/>
          <w:szCs w:val="30"/>
        </w:rPr>
        <w:t>。未提供硬件资源方案视为一票否决。</w:t>
      </w:r>
    </w:p>
    <w:p w:rsidR="00740A85" w:rsidRDefault="00740A85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</w:p>
    <w:p w:rsidR="00740A85" w:rsidRDefault="00740A85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</w:p>
    <w:p w:rsidR="00740A85" w:rsidRDefault="0088047F">
      <w:pPr>
        <w:widowControl/>
        <w:shd w:val="clear" w:color="auto" w:fill="FFFFFF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  <w:r>
        <w:rPr>
          <w:rFonts w:eastAsia="仿宋_GB2312" w:hint="eastAsia"/>
          <w:b/>
          <w:sz w:val="30"/>
          <w:szCs w:val="30"/>
        </w:rPr>
        <w:t>3</w:t>
      </w:r>
      <w:r>
        <w:rPr>
          <w:rFonts w:eastAsia="仿宋_GB2312" w:hint="eastAsia"/>
          <w:b/>
          <w:sz w:val="30"/>
          <w:szCs w:val="30"/>
        </w:rPr>
        <w:t>：运营方案</w:t>
      </w:r>
    </w:p>
    <w:p w:rsidR="00740A85" w:rsidRDefault="0088047F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调研机构需提供的运营方案应包含：资金投入方案、运营模式方案、双方工作分配方案、利益分配方案。</w:t>
      </w:r>
    </w:p>
    <w:p w:rsidR="00740A85" w:rsidRDefault="00740A85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</w:p>
    <w:p w:rsidR="00740A85" w:rsidRDefault="0088047F">
      <w:pPr>
        <w:widowControl/>
        <w:shd w:val="clear" w:color="auto" w:fill="FFFFFF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  <w:r>
        <w:rPr>
          <w:rFonts w:eastAsia="仿宋_GB2312" w:hint="eastAsia"/>
          <w:b/>
          <w:sz w:val="30"/>
          <w:szCs w:val="30"/>
        </w:rPr>
        <w:t>4</w:t>
      </w:r>
      <w:r>
        <w:rPr>
          <w:rFonts w:eastAsia="仿宋_GB2312" w:hint="eastAsia"/>
          <w:b/>
          <w:sz w:val="30"/>
          <w:szCs w:val="30"/>
        </w:rPr>
        <w:t>：实施方案</w:t>
      </w:r>
    </w:p>
    <w:p w:rsidR="00740A85" w:rsidRDefault="0088047F">
      <w:pPr>
        <w:widowControl/>
        <w:shd w:val="clear" w:color="auto" w:fill="FFFFFF"/>
        <w:ind w:firstLine="645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调研机构需提供以下几种方案：项目实施方案、使用培训方案</w:t>
      </w:r>
      <w:r>
        <w:rPr>
          <w:rFonts w:eastAsia="仿宋_GB2312" w:hint="eastAsia"/>
          <w:sz w:val="30"/>
          <w:szCs w:val="30"/>
        </w:rPr>
        <w:t>、</w:t>
      </w:r>
      <w:bookmarkStart w:id="3" w:name="_GoBack"/>
      <w:r>
        <w:rPr>
          <w:rFonts w:eastAsia="仿宋_GB2312" w:hint="eastAsia"/>
          <w:color w:val="FF0000"/>
          <w:sz w:val="30"/>
          <w:szCs w:val="30"/>
        </w:rPr>
        <w:t>后期运维方案</w:t>
      </w:r>
      <w:bookmarkEnd w:id="3"/>
      <w:r>
        <w:rPr>
          <w:rFonts w:eastAsia="仿宋_GB2312" w:hint="eastAsia"/>
          <w:sz w:val="30"/>
          <w:szCs w:val="30"/>
        </w:rPr>
        <w:t>。</w:t>
      </w:r>
    </w:p>
    <w:bookmarkEnd w:id="0"/>
    <w:bookmarkEnd w:id="1"/>
    <w:bookmarkEnd w:id="2"/>
    <w:p w:rsidR="00740A85" w:rsidRDefault="00740A85">
      <w:pPr>
        <w:widowControl/>
        <w:shd w:val="clear" w:color="auto" w:fill="FFFFFF"/>
        <w:jc w:val="right"/>
        <w:rPr>
          <w:rFonts w:eastAsia="仿宋_GB2312"/>
          <w:kern w:val="0"/>
          <w:sz w:val="30"/>
          <w:szCs w:val="30"/>
        </w:rPr>
      </w:pPr>
    </w:p>
    <w:sectPr w:rsidR="00740A85" w:rsidSect="00740A85">
      <w:headerReference w:type="default" r:id="rId7"/>
      <w:footerReference w:type="default" r:id="rId8"/>
      <w:pgSz w:w="11906" w:h="16838"/>
      <w:pgMar w:top="851" w:right="1247" w:bottom="851" w:left="1247" w:header="45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47F" w:rsidRDefault="0088047F" w:rsidP="00740A85">
      <w:r>
        <w:separator/>
      </w:r>
    </w:p>
  </w:endnote>
  <w:endnote w:type="continuationSeparator" w:id="0">
    <w:p w:rsidR="0088047F" w:rsidRDefault="0088047F" w:rsidP="0074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85" w:rsidRDefault="00740A8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4.55pt;height:10.35pt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" filled="f" stroked="f" strokeweight=".5pt">
          <v:path arrowok="t"/>
          <v:textbox style="mso-fit-shape-to-text:t" inset="0,0,0,0">
            <w:txbxContent>
              <w:p w:rsidR="00740A85" w:rsidRDefault="00740A85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88047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F493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47F" w:rsidRDefault="0088047F" w:rsidP="00740A85">
      <w:r>
        <w:separator/>
      </w:r>
    </w:p>
  </w:footnote>
  <w:footnote w:type="continuationSeparator" w:id="0">
    <w:p w:rsidR="0088047F" w:rsidRDefault="0088047F" w:rsidP="00740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85" w:rsidRDefault="00740A85">
    <w:pPr>
      <w:pStyle w:val="a6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820"/>
    <w:rsid w:val="000231F6"/>
    <w:rsid w:val="00025A3E"/>
    <w:rsid w:val="00064D4E"/>
    <w:rsid w:val="00080697"/>
    <w:rsid w:val="000829B0"/>
    <w:rsid w:val="000858F3"/>
    <w:rsid w:val="00091608"/>
    <w:rsid w:val="00093E81"/>
    <w:rsid w:val="000D559F"/>
    <w:rsid w:val="001018DC"/>
    <w:rsid w:val="0010540B"/>
    <w:rsid w:val="001118EB"/>
    <w:rsid w:val="001120FC"/>
    <w:rsid w:val="001223D2"/>
    <w:rsid w:val="00130A42"/>
    <w:rsid w:val="001369F0"/>
    <w:rsid w:val="00152711"/>
    <w:rsid w:val="00157683"/>
    <w:rsid w:val="00166377"/>
    <w:rsid w:val="00170142"/>
    <w:rsid w:val="00172072"/>
    <w:rsid w:val="00190566"/>
    <w:rsid w:val="001A6610"/>
    <w:rsid w:val="001B1368"/>
    <w:rsid w:val="001E474B"/>
    <w:rsid w:val="00244633"/>
    <w:rsid w:val="002A15EF"/>
    <w:rsid w:val="002D1427"/>
    <w:rsid w:val="002E2DFA"/>
    <w:rsid w:val="00301012"/>
    <w:rsid w:val="00301459"/>
    <w:rsid w:val="003217D4"/>
    <w:rsid w:val="00361795"/>
    <w:rsid w:val="003C2D33"/>
    <w:rsid w:val="003C7AAC"/>
    <w:rsid w:val="003D00AB"/>
    <w:rsid w:val="004003FE"/>
    <w:rsid w:val="004050B2"/>
    <w:rsid w:val="004268BD"/>
    <w:rsid w:val="00430A94"/>
    <w:rsid w:val="0045460F"/>
    <w:rsid w:val="004673C7"/>
    <w:rsid w:val="0047107A"/>
    <w:rsid w:val="00482033"/>
    <w:rsid w:val="00487756"/>
    <w:rsid w:val="004932B7"/>
    <w:rsid w:val="004A1567"/>
    <w:rsid w:val="004A41A1"/>
    <w:rsid w:val="004B31B2"/>
    <w:rsid w:val="004B5903"/>
    <w:rsid w:val="004C7BCB"/>
    <w:rsid w:val="004D0764"/>
    <w:rsid w:val="004E4B3E"/>
    <w:rsid w:val="00510C20"/>
    <w:rsid w:val="00526104"/>
    <w:rsid w:val="00555D78"/>
    <w:rsid w:val="0058547D"/>
    <w:rsid w:val="005A6600"/>
    <w:rsid w:val="00610972"/>
    <w:rsid w:val="00617B88"/>
    <w:rsid w:val="00641B7D"/>
    <w:rsid w:val="00665060"/>
    <w:rsid w:val="00692AC8"/>
    <w:rsid w:val="006A1671"/>
    <w:rsid w:val="006A270E"/>
    <w:rsid w:val="006B33CC"/>
    <w:rsid w:val="006F3856"/>
    <w:rsid w:val="006F4F21"/>
    <w:rsid w:val="00725F9A"/>
    <w:rsid w:val="0073307E"/>
    <w:rsid w:val="00740A85"/>
    <w:rsid w:val="00757120"/>
    <w:rsid w:val="00761882"/>
    <w:rsid w:val="007A2DCB"/>
    <w:rsid w:val="007F31B4"/>
    <w:rsid w:val="007F4936"/>
    <w:rsid w:val="008071F4"/>
    <w:rsid w:val="0081760C"/>
    <w:rsid w:val="00823214"/>
    <w:rsid w:val="0082360D"/>
    <w:rsid w:val="0082658E"/>
    <w:rsid w:val="00855820"/>
    <w:rsid w:val="0088047F"/>
    <w:rsid w:val="00893F50"/>
    <w:rsid w:val="00895D51"/>
    <w:rsid w:val="008A7175"/>
    <w:rsid w:val="008E6CAA"/>
    <w:rsid w:val="00931186"/>
    <w:rsid w:val="00954778"/>
    <w:rsid w:val="00955E53"/>
    <w:rsid w:val="00972EAC"/>
    <w:rsid w:val="00983EA9"/>
    <w:rsid w:val="009A4A14"/>
    <w:rsid w:val="009D0356"/>
    <w:rsid w:val="009D264C"/>
    <w:rsid w:val="009F2B1A"/>
    <w:rsid w:val="00A06BC5"/>
    <w:rsid w:val="00A34AAC"/>
    <w:rsid w:val="00A41199"/>
    <w:rsid w:val="00A937CC"/>
    <w:rsid w:val="00AB0F6E"/>
    <w:rsid w:val="00AB47B4"/>
    <w:rsid w:val="00AD550A"/>
    <w:rsid w:val="00B044DF"/>
    <w:rsid w:val="00B160A3"/>
    <w:rsid w:val="00B27752"/>
    <w:rsid w:val="00B65167"/>
    <w:rsid w:val="00BA3DC2"/>
    <w:rsid w:val="00BC08E0"/>
    <w:rsid w:val="00BD5897"/>
    <w:rsid w:val="00BD5D88"/>
    <w:rsid w:val="00BF6940"/>
    <w:rsid w:val="00C215FD"/>
    <w:rsid w:val="00C21ED9"/>
    <w:rsid w:val="00C22C02"/>
    <w:rsid w:val="00C23E47"/>
    <w:rsid w:val="00C30134"/>
    <w:rsid w:val="00C375A7"/>
    <w:rsid w:val="00C64B7A"/>
    <w:rsid w:val="00C73A13"/>
    <w:rsid w:val="00CB0517"/>
    <w:rsid w:val="00CB19F3"/>
    <w:rsid w:val="00CD65BC"/>
    <w:rsid w:val="00D164E5"/>
    <w:rsid w:val="00D22769"/>
    <w:rsid w:val="00D458D4"/>
    <w:rsid w:val="00D556F8"/>
    <w:rsid w:val="00D578EA"/>
    <w:rsid w:val="00D76EEF"/>
    <w:rsid w:val="00D8001E"/>
    <w:rsid w:val="00D94D6A"/>
    <w:rsid w:val="00DC7413"/>
    <w:rsid w:val="00DE65B8"/>
    <w:rsid w:val="00E65AA4"/>
    <w:rsid w:val="00E74427"/>
    <w:rsid w:val="00EA5724"/>
    <w:rsid w:val="00EB65D0"/>
    <w:rsid w:val="00EF161E"/>
    <w:rsid w:val="00EF3340"/>
    <w:rsid w:val="00EF415E"/>
    <w:rsid w:val="00EF7E7D"/>
    <w:rsid w:val="00F12C10"/>
    <w:rsid w:val="00F20BE7"/>
    <w:rsid w:val="00F409C5"/>
    <w:rsid w:val="00F45FC3"/>
    <w:rsid w:val="00F80236"/>
    <w:rsid w:val="00F822B9"/>
    <w:rsid w:val="00F8618D"/>
    <w:rsid w:val="00FC64E1"/>
    <w:rsid w:val="00FE42B2"/>
    <w:rsid w:val="033306DE"/>
    <w:rsid w:val="03C86491"/>
    <w:rsid w:val="09E63CC4"/>
    <w:rsid w:val="0AD96B12"/>
    <w:rsid w:val="1175518A"/>
    <w:rsid w:val="11AF0AEC"/>
    <w:rsid w:val="141E7A26"/>
    <w:rsid w:val="18876E67"/>
    <w:rsid w:val="1E01706B"/>
    <w:rsid w:val="26C62A04"/>
    <w:rsid w:val="27A46D83"/>
    <w:rsid w:val="27CA1F44"/>
    <w:rsid w:val="29E85015"/>
    <w:rsid w:val="2CD47BEF"/>
    <w:rsid w:val="375A07D3"/>
    <w:rsid w:val="3CDB4C91"/>
    <w:rsid w:val="3DCD7427"/>
    <w:rsid w:val="42E623AB"/>
    <w:rsid w:val="44026833"/>
    <w:rsid w:val="45875DF7"/>
    <w:rsid w:val="4F73697D"/>
    <w:rsid w:val="5140564E"/>
    <w:rsid w:val="56EE7110"/>
    <w:rsid w:val="59C02643"/>
    <w:rsid w:val="5D6D1037"/>
    <w:rsid w:val="60DB3267"/>
    <w:rsid w:val="619D321F"/>
    <w:rsid w:val="67351902"/>
    <w:rsid w:val="710E37DD"/>
    <w:rsid w:val="713566A3"/>
    <w:rsid w:val="71BC6EFD"/>
    <w:rsid w:val="735C0456"/>
    <w:rsid w:val="752D594F"/>
    <w:rsid w:val="7806434E"/>
    <w:rsid w:val="780F315D"/>
    <w:rsid w:val="78F30536"/>
    <w:rsid w:val="7F6D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iPriority w:val="99"/>
    <w:qFormat/>
    <w:rsid w:val="00740A85"/>
    <w:pPr>
      <w:ind w:firstLine="420"/>
    </w:pPr>
    <w:rPr>
      <w:rFonts w:ascii="Calibri" w:hAnsi="Calibri" w:cs="Calibri"/>
    </w:rPr>
  </w:style>
  <w:style w:type="paragraph" w:styleId="a4">
    <w:name w:val="Body Text"/>
    <w:basedOn w:val="a"/>
    <w:link w:val="Char0"/>
    <w:uiPriority w:val="99"/>
    <w:unhideWhenUsed/>
    <w:qFormat/>
    <w:rsid w:val="00740A85"/>
    <w:pPr>
      <w:spacing w:after="120"/>
    </w:pPr>
  </w:style>
  <w:style w:type="paragraph" w:styleId="2">
    <w:name w:val="List 2"/>
    <w:basedOn w:val="a"/>
    <w:qFormat/>
    <w:rsid w:val="00740A85"/>
    <w:pPr>
      <w:ind w:leftChars="200" w:left="100" w:hangingChars="200" w:hanging="200"/>
    </w:pPr>
    <w:rPr>
      <w:szCs w:val="22"/>
    </w:rPr>
  </w:style>
  <w:style w:type="paragraph" w:styleId="a5">
    <w:name w:val="footer"/>
    <w:basedOn w:val="a"/>
    <w:link w:val="Char1"/>
    <w:uiPriority w:val="99"/>
    <w:unhideWhenUsed/>
    <w:qFormat/>
    <w:rsid w:val="00740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740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740A85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character" w:customStyle="1" w:styleId="Char2">
    <w:name w:val="页眉 Char"/>
    <w:basedOn w:val="a0"/>
    <w:link w:val="a6"/>
    <w:qFormat/>
    <w:rsid w:val="00740A8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40A85"/>
    <w:rPr>
      <w:sz w:val="18"/>
      <w:szCs w:val="18"/>
    </w:rPr>
  </w:style>
  <w:style w:type="character" w:customStyle="1" w:styleId="Char0">
    <w:name w:val="正文文本 Char"/>
    <w:basedOn w:val="a0"/>
    <w:link w:val="a4"/>
    <w:uiPriority w:val="99"/>
    <w:rsid w:val="00740A85"/>
    <w:rPr>
      <w:rFonts w:ascii="Times New Roman" w:eastAsia="宋体" w:hAnsi="Times New Roman" w:cs="Times New Roman"/>
      <w:szCs w:val="21"/>
    </w:rPr>
  </w:style>
  <w:style w:type="character" w:customStyle="1" w:styleId="Char">
    <w:name w:val="正文缩进 Char"/>
    <w:link w:val="a3"/>
    <w:uiPriority w:val="99"/>
    <w:qFormat/>
    <w:locked/>
    <w:rsid w:val="00740A85"/>
    <w:rPr>
      <w:rFonts w:ascii="Calibri" w:eastAsia="宋体" w:hAnsi="Calibri" w:cs="Calibri"/>
      <w:szCs w:val="21"/>
    </w:rPr>
  </w:style>
  <w:style w:type="character" w:customStyle="1" w:styleId="font01">
    <w:name w:val="font01"/>
    <w:uiPriority w:val="99"/>
    <w:qFormat/>
    <w:rsid w:val="00740A85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uiPriority w:val="99"/>
    <w:qFormat/>
    <w:rsid w:val="00740A85"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paragraph" w:customStyle="1" w:styleId="a8">
    <w:name w:val="_正文段落"/>
    <w:basedOn w:val="a"/>
    <w:uiPriority w:val="99"/>
    <w:qFormat/>
    <w:rsid w:val="00740A85"/>
    <w:pPr>
      <w:spacing w:beforeLines="15" w:afterLines="15" w:line="360" w:lineRule="auto"/>
      <w:ind w:firstLineChars="200" w:firstLine="200"/>
    </w:pPr>
    <w:rPr>
      <w:rFonts w:ascii="宋体" w:eastAsia="仿宋_GB2312" w:cs="宋体"/>
      <w:kern w:val="0"/>
      <w:sz w:val="28"/>
      <w:szCs w:val="28"/>
    </w:rPr>
  </w:style>
  <w:style w:type="paragraph" w:styleId="a9">
    <w:name w:val="List Paragraph"/>
    <w:basedOn w:val="a"/>
    <w:uiPriority w:val="34"/>
    <w:qFormat/>
    <w:rsid w:val="00740A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Company>Sky123.Org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张攀</cp:lastModifiedBy>
  <cp:revision>8</cp:revision>
  <cp:lastPrinted>2020-04-21T08:28:00Z</cp:lastPrinted>
  <dcterms:created xsi:type="dcterms:W3CDTF">2021-11-03T05:52:00Z</dcterms:created>
  <dcterms:modified xsi:type="dcterms:W3CDTF">2021-11-04T06:12:00Z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8C29A695ED2447B3BA86C032AF3AAAFB</vt:lpwstr>
  </property>
</Properties>
</file>